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25" w:rsidRDefault="00532825" w:rsidP="00532825">
      <w:pPr>
        <w:pStyle w:val="ListParagraph"/>
        <w:jc w:val="center"/>
      </w:pPr>
      <w:r>
        <w:rPr>
          <w:noProof/>
          <w:lang w:eastAsia="en-GB"/>
        </w:rPr>
        <w:drawing>
          <wp:inline distT="0" distB="0" distL="0" distR="0">
            <wp:extent cx="2724150" cy="333375"/>
            <wp:effectExtent l="0" t="0" r="0" b="9525"/>
            <wp:docPr id="1" name="Picture 1" descr="cid:image001.jpg@01CDA2F3.4D18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DA2F3.4D1819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24150" cy="333375"/>
                    </a:xfrm>
                    <a:prstGeom prst="rect">
                      <a:avLst/>
                    </a:prstGeom>
                    <a:noFill/>
                    <a:ln>
                      <a:noFill/>
                    </a:ln>
                  </pic:spPr>
                </pic:pic>
              </a:graphicData>
            </a:graphic>
          </wp:inline>
        </w:drawing>
      </w:r>
    </w:p>
    <w:p w:rsidR="00532825" w:rsidRPr="00953029" w:rsidRDefault="00532825" w:rsidP="00532825">
      <w:pPr>
        <w:jc w:val="center"/>
        <w:rPr>
          <w:b/>
        </w:rPr>
      </w:pPr>
      <w:r w:rsidRPr="00953029">
        <w:rPr>
          <w:b/>
        </w:rPr>
        <w:t xml:space="preserve">JOB </w:t>
      </w:r>
      <w:r>
        <w:rPr>
          <w:b/>
        </w:rPr>
        <w:t>REMIT</w:t>
      </w:r>
    </w:p>
    <w:tbl>
      <w:tblPr>
        <w:tblW w:w="1018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4334"/>
        <w:gridCol w:w="1417"/>
        <w:gridCol w:w="2529"/>
      </w:tblGrid>
      <w:tr w:rsidR="00532825" w:rsidRPr="004B2AC5" w:rsidTr="00573C57">
        <w:tc>
          <w:tcPr>
            <w:tcW w:w="1904" w:type="dxa"/>
            <w:shd w:val="pct20" w:color="auto" w:fill="auto"/>
          </w:tcPr>
          <w:p w:rsidR="00532825" w:rsidRPr="004B2AC5" w:rsidRDefault="00532825" w:rsidP="00573C57">
            <w:pPr>
              <w:spacing w:before="40" w:after="40"/>
              <w:jc w:val="both"/>
              <w:rPr>
                <w:rFonts w:cs="Arial"/>
                <w:b/>
              </w:rPr>
            </w:pPr>
            <w:r w:rsidRPr="004B2AC5">
              <w:rPr>
                <w:rFonts w:cs="Arial"/>
                <w:b/>
              </w:rPr>
              <w:t>Role</w:t>
            </w:r>
          </w:p>
        </w:tc>
        <w:tc>
          <w:tcPr>
            <w:tcW w:w="4334" w:type="dxa"/>
          </w:tcPr>
          <w:p w:rsidR="00532825" w:rsidRPr="004B2AC5" w:rsidRDefault="00532825" w:rsidP="00573C57">
            <w:pPr>
              <w:spacing w:before="40" w:after="40"/>
              <w:rPr>
                <w:rFonts w:cs="Arial"/>
              </w:rPr>
            </w:pPr>
            <w:r>
              <w:rPr>
                <w:rFonts w:cs="Arial"/>
              </w:rPr>
              <w:t>Programme Officer</w:t>
            </w:r>
          </w:p>
        </w:tc>
        <w:tc>
          <w:tcPr>
            <w:tcW w:w="1417" w:type="dxa"/>
            <w:shd w:val="pct20" w:color="auto" w:fill="auto"/>
          </w:tcPr>
          <w:p w:rsidR="00532825" w:rsidRPr="004B2AC5" w:rsidRDefault="00532825" w:rsidP="00573C57">
            <w:pPr>
              <w:spacing w:before="40" w:after="40"/>
              <w:jc w:val="both"/>
              <w:rPr>
                <w:rFonts w:cs="Arial"/>
              </w:rPr>
            </w:pPr>
            <w:r>
              <w:rPr>
                <w:rFonts w:cs="Arial"/>
                <w:b/>
              </w:rPr>
              <w:t xml:space="preserve">Team </w:t>
            </w:r>
          </w:p>
        </w:tc>
        <w:tc>
          <w:tcPr>
            <w:tcW w:w="2529" w:type="dxa"/>
          </w:tcPr>
          <w:p w:rsidR="00532825" w:rsidRPr="004B2AC5" w:rsidRDefault="00532825" w:rsidP="00573C57">
            <w:pPr>
              <w:spacing w:before="40" w:after="40"/>
              <w:jc w:val="both"/>
              <w:rPr>
                <w:rFonts w:cs="Arial"/>
              </w:rPr>
            </w:pPr>
            <w:r>
              <w:rPr>
                <w:rFonts w:cs="Arial"/>
              </w:rPr>
              <w:t>Services</w:t>
            </w:r>
          </w:p>
        </w:tc>
      </w:tr>
      <w:tr w:rsidR="00532825" w:rsidRPr="004B2AC5" w:rsidTr="00573C57">
        <w:tc>
          <w:tcPr>
            <w:tcW w:w="1904" w:type="dxa"/>
            <w:shd w:val="pct20" w:color="auto" w:fill="auto"/>
          </w:tcPr>
          <w:p w:rsidR="00532825" w:rsidRPr="004B2AC5" w:rsidRDefault="00532825" w:rsidP="00573C57">
            <w:pPr>
              <w:spacing w:before="40" w:after="40"/>
              <w:jc w:val="both"/>
              <w:rPr>
                <w:rFonts w:cs="Arial"/>
                <w:b/>
              </w:rPr>
            </w:pPr>
            <w:r w:rsidRPr="004B2AC5">
              <w:rPr>
                <w:rFonts w:cs="Arial"/>
                <w:b/>
              </w:rPr>
              <w:t>Reports To</w:t>
            </w:r>
          </w:p>
        </w:tc>
        <w:tc>
          <w:tcPr>
            <w:tcW w:w="4334" w:type="dxa"/>
          </w:tcPr>
          <w:p w:rsidR="00532825" w:rsidRPr="004B2AC5" w:rsidRDefault="00532825" w:rsidP="00573C57">
            <w:pPr>
              <w:spacing w:before="40" w:after="40"/>
              <w:jc w:val="both"/>
              <w:rPr>
                <w:rFonts w:cs="Arial"/>
              </w:rPr>
            </w:pPr>
            <w:r>
              <w:rPr>
                <w:rFonts w:cs="Arial"/>
              </w:rPr>
              <w:t>Senior Programme Manager</w:t>
            </w:r>
          </w:p>
        </w:tc>
        <w:tc>
          <w:tcPr>
            <w:tcW w:w="1417" w:type="dxa"/>
            <w:shd w:val="pct20" w:color="auto" w:fill="auto"/>
          </w:tcPr>
          <w:p w:rsidR="00532825" w:rsidRPr="004B2AC5" w:rsidRDefault="00532825" w:rsidP="00573C57">
            <w:pPr>
              <w:spacing w:before="40" w:after="40"/>
              <w:jc w:val="both"/>
              <w:rPr>
                <w:rFonts w:cs="Arial"/>
                <w:b/>
              </w:rPr>
            </w:pPr>
            <w:r>
              <w:rPr>
                <w:rFonts w:cs="Arial"/>
                <w:b/>
              </w:rPr>
              <w:t>Directorate</w:t>
            </w:r>
          </w:p>
        </w:tc>
        <w:tc>
          <w:tcPr>
            <w:tcW w:w="2529" w:type="dxa"/>
          </w:tcPr>
          <w:p w:rsidR="00532825" w:rsidRPr="004B2AC5" w:rsidRDefault="00532825" w:rsidP="00573C57">
            <w:pPr>
              <w:spacing w:before="40" w:after="40"/>
              <w:rPr>
                <w:rFonts w:cs="Arial"/>
              </w:rPr>
            </w:pPr>
            <w:r>
              <w:rPr>
                <w:rFonts w:cs="Arial"/>
              </w:rPr>
              <w:t>Programmes and Neighbourhoods</w:t>
            </w:r>
          </w:p>
        </w:tc>
      </w:tr>
      <w:tr w:rsidR="00532825" w:rsidRPr="004B2AC5" w:rsidTr="00573C57">
        <w:tc>
          <w:tcPr>
            <w:tcW w:w="1904" w:type="dxa"/>
            <w:shd w:val="pct20" w:color="auto" w:fill="auto"/>
          </w:tcPr>
          <w:p w:rsidR="00532825" w:rsidRPr="004B2AC5" w:rsidRDefault="00532825" w:rsidP="00573C57">
            <w:pPr>
              <w:spacing w:before="40" w:after="40"/>
              <w:jc w:val="both"/>
              <w:rPr>
                <w:rFonts w:cs="Arial"/>
                <w:b/>
              </w:rPr>
            </w:pPr>
            <w:r>
              <w:rPr>
                <w:rFonts w:cs="Arial"/>
                <w:b/>
              </w:rPr>
              <w:t>Post Reference</w:t>
            </w:r>
          </w:p>
        </w:tc>
        <w:tc>
          <w:tcPr>
            <w:tcW w:w="4334" w:type="dxa"/>
          </w:tcPr>
          <w:p w:rsidR="00532825" w:rsidRDefault="00896E36" w:rsidP="00573C57">
            <w:pPr>
              <w:spacing w:before="40" w:after="40"/>
              <w:jc w:val="both"/>
              <w:rPr>
                <w:rFonts w:cs="Arial"/>
              </w:rPr>
            </w:pPr>
            <w:r>
              <w:rPr>
                <w:rFonts w:cs="Arial"/>
              </w:rPr>
              <w:t>MOPAC 092</w:t>
            </w:r>
          </w:p>
        </w:tc>
        <w:tc>
          <w:tcPr>
            <w:tcW w:w="1417" w:type="dxa"/>
            <w:shd w:val="pct20" w:color="auto" w:fill="auto"/>
          </w:tcPr>
          <w:p w:rsidR="00532825" w:rsidRPr="004B2AC5" w:rsidRDefault="00532825" w:rsidP="00573C57">
            <w:pPr>
              <w:spacing w:before="40" w:after="40"/>
              <w:jc w:val="both"/>
              <w:rPr>
                <w:rFonts w:cs="Arial"/>
                <w:b/>
              </w:rPr>
            </w:pPr>
            <w:r>
              <w:rPr>
                <w:rFonts w:cs="Arial"/>
                <w:b/>
              </w:rPr>
              <w:t>Grade</w:t>
            </w:r>
          </w:p>
        </w:tc>
        <w:tc>
          <w:tcPr>
            <w:tcW w:w="2529" w:type="dxa"/>
          </w:tcPr>
          <w:p w:rsidR="00532825" w:rsidRPr="004B2AC5" w:rsidRDefault="00532825" w:rsidP="00573C57">
            <w:pPr>
              <w:spacing w:before="40" w:after="40"/>
              <w:jc w:val="both"/>
              <w:rPr>
                <w:rFonts w:cs="Arial"/>
              </w:rPr>
            </w:pPr>
            <w:r>
              <w:rPr>
                <w:rFonts w:cs="Arial"/>
              </w:rPr>
              <w:t>6</w:t>
            </w:r>
          </w:p>
        </w:tc>
      </w:tr>
      <w:tr w:rsidR="00532825" w:rsidRPr="004B2AC5" w:rsidTr="00573C57">
        <w:tc>
          <w:tcPr>
            <w:tcW w:w="10184" w:type="dxa"/>
            <w:gridSpan w:val="4"/>
            <w:shd w:val="pct20" w:color="auto" w:fill="auto"/>
          </w:tcPr>
          <w:p w:rsidR="00532825" w:rsidRPr="004B2AC5" w:rsidRDefault="00532825" w:rsidP="00573C57">
            <w:pPr>
              <w:spacing w:before="40" w:after="40"/>
              <w:rPr>
                <w:rFonts w:cs="Arial"/>
                <w:i/>
              </w:rPr>
            </w:pPr>
            <w:r w:rsidRPr="004B2AC5">
              <w:rPr>
                <w:rFonts w:cs="Arial"/>
                <w:b/>
              </w:rPr>
              <w:t>Purpose of the Role</w:t>
            </w:r>
            <w:r>
              <w:rPr>
                <w:rFonts w:cs="Arial"/>
                <w:b/>
              </w:rPr>
              <w:t xml:space="preserve"> </w:t>
            </w:r>
          </w:p>
        </w:tc>
      </w:tr>
      <w:tr w:rsidR="00532825" w:rsidRPr="004B2AC5" w:rsidTr="00573C57">
        <w:tc>
          <w:tcPr>
            <w:tcW w:w="10184" w:type="dxa"/>
            <w:gridSpan w:val="4"/>
          </w:tcPr>
          <w:p w:rsidR="00532825" w:rsidRDefault="00532825" w:rsidP="00573C57">
            <w:pPr>
              <w:overflowPunct w:val="0"/>
              <w:autoSpaceDE w:val="0"/>
              <w:autoSpaceDN w:val="0"/>
              <w:adjustRightInd w:val="0"/>
              <w:spacing w:before="40" w:after="0" w:line="240" w:lineRule="auto"/>
              <w:textAlignment w:val="baseline"/>
              <w:rPr>
                <w:rFonts w:cs="Arial"/>
              </w:rPr>
            </w:pPr>
            <w:r>
              <w:rPr>
                <w:rFonts w:cs="Arial"/>
              </w:rPr>
              <w:t xml:space="preserve">Assist the delivery of </w:t>
            </w:r>
            <w:r w:rsidRPr="00A321A5">
              <w:rPr>
                <w:rFonts w:cs="Arial"/>
              </w:rPr>
              <w:t>Police &amp; Crime Plan commitments on crime reduction and prevention working with communities and citizens as well community safety and criminal justice partner agencies to achieve the Deputy Mayor’s aim reduce crime by 20%.</w:t>
            </w:r>
          </w:p>
          <w:p w:rsidR="00532825" w:rsidRPr="004B2AC5" w:rsidRDefault="00532825" w:rsidP="00573C57">
            <w:pPr>
              <w:overflowPunct w:val="0"/>
              <w:autoSpaceDE w:val="0"/>
              <w:autoSpaceDN w:val="0"/>
              <w:adjustRightInd w:val="0"/>
              <w:spacing w:before="40" w:after="0" w:line="240" w:lineRule="auto"/>
              <w:textAlignment w:val="baseline"/>
              <w:rPr>
                <w:rFonts w:cs="Arial"/>
              </w:rPr>
            </w:pPr>
          </w:p>
        </w:tc>
      </w:tr>
      <w:tr w:rsidR="00532825" w:rsidRPr="004B2AC5" w:rsidTr="00573C57">
        <w:tc>
          <w:tcPr>
            <w:tcW w:w="10184" w:type="dxa"/>
            <w:gridSpan w:val="4"/>
            <w:shd w:val="pct20" w:color="auto" w:fill="auto"/>
          </w:tcPr>
          <w:p w:rsidR="00532825" w:rsidRPr="00CD4DAF" w:rsidRDefault="00532825" w:rsidP="00573C57">
            <w:pPr>
              <w:spacing w:before="40" w:after="40"/>
              <w:rPr>
                <w:rFonts w:cs="Arial"/>
                <w:b/>
              </w:rPr>
            </w:pPr>
            <w:r w:rsidRPr="004B2AC5">
              <w:rPr>
                <w:rFonts w:cs="Arial"/>
                <w:b/>
              </w:rPr>
              <w:t>Main Duties and Key Accountabilities of the jobholder</w:t>
            </w:r>
            <w:r>
              <w:rPr>
                <w:rFonts w:cs="Arial"/>
                <w:b/>
              </w:rPr>
              <w:t xml:space="preserve"> </w:t>
            </w:r>
          </w:p>
        </w:tc>
      </w:tr>
      <w:tr w:rsidR="00532825" w:rsidRPr="004B2AC5" w:rsidTr="00573C57">
        <w:tc>
          <w:tcPr>
            <w:tcW w:w="10184" w:type="dxa"/>
            <w:gridSpan w:val="4"/>
          </w:tcPr>
          <w:p w:rsidR="00532825" w:rsidRPr="00324361" w:rsidRDefault="00532825" w:rsidP="00532825">
            <w:pPr>
              <w:numPr>
                <w:ilvl w:val="0"/>
                <w:numId w:val="1"/>
              </w:numPr>
              <w:overflowPunct w:val="0"/>
              <w:autoSpaceDE w:val="0"/>
              <w:autoSpaceDN w:val="0"/>
              <w:adjustRightInd w:val="0"/>
              <w:spacing w:before="40" w:after="0" w:line="240" w:lineRule="auto"/>
              <w:textAlignment w:val="baseline"/>
              <w:rPr>
                <w:rFonts w:cs="Arial"/>
              </w:rPr>
            </w:pPr>
            <w:r w:rsidRPr="00324361">
              <w:rPr>
                <w:rFonts w:cs="Arial"/>
              </w:rPr>
              <w:t>Support delivery</w:t>
            </w:r>
            <w:r>
              <w:rPr>
                <w:rFonts w:cs="Arial"/>
              </w:rPr>
              <w:t xml:space="preserve"> of</w:t>
            </w:r>
            <w:r w:rsidRPr="00324361">
              <w:rPr>
                <w:rFonts w:cs="Arial"/>
              </w:rPr>
              <w:t xml:space="preserve"> </w:t>
            </w:r>
            <w:r w:rsidRPr="00324361">
              <w:t>programmes of work to deliver Mayoral commitments as set out in the Police and Crime Plan.</w:t>
            </w:r>
            <w:r w:rsidRPr="00324361">
              <w:rPr>
                <w:rFonts w:cs="Arial"/>
              </w:rPr>
              <w:t xml:space="preserve">  These will include, but are not limited to:</w:t>
            </w:r>
          </w:p>
          <w:p w:rsidR="00532825" w:rsidRPr="00324361" w:rsidRDefault="00532825" w:rsidP="00532825">
            <w:pPr>
              <w:numPr>
                <w:ilvl w:val="1"/>
                <w:numId w:val="4"/>
              </w:numPr>
              <w:overflowPunct w:val="0"/>
              <w:autoSpaceDE w:val="0"/>
              <w:autoSpaceDN w:val="0"/>
              <w:adjustRightInd w:val="0"/>
              <w:spacing w:before="40" w:after="0" w:line="240" w:lineRule="auto"/>
              <w:ind w:left="1155" w:hanging="426"/>
              <w:textAlignment w:val="baseline"/>
              <w:rPr>
                <w:rFonts w:cs="Arial"/>
              </w:rPr>
            </w:pPr>
            <w:r w:rsidRPr="00324361">
              <w:rPr>
                <w:rFonts w:cs="Arial"/>
              </w:rPr>
              <w:t>Gangs and youth violence</w:t>
            </w:r>
          </w:p>
          <w:p w:rsidR="00532825" w:rsidRPr="00324361" w:rsidRDefault="00532825" w:rsidP="00532825">
            <w:pPr>
              <w:numPr>
                <w:ilvl w:val="1"/>
                <w:numId w:val="4"/>
              </w:numPr>
              <w:overflowPunct w:val="0"/>
              <w:autoSpaceDE w:val="0"/>
              <w:autoSpaceDN w:val="0"/>
              <w:adjustRightInd w:val="0"/>
              <w:spacing w:before="40" w:after="0" w:line="240" w:lineRule="auto"/>
              <w:ind w:left="1155" w:hanging="426"/>
              <w:textAlignment w:val="baseline"/>
              <w:rPr>
                <w:rFonts w:cs="Arial"/>
              </w:rPr>
            </w:pPr>
            <w:r w:rsidRPr="00324361">
              <w:rPr>
                <w:rFonts w:cs="Arial"/>
              </w:rPr>
              <w:t>Violence against women and girls, including a pan-London domestic violence service and support for London’s four Rape Crisis Centres</w:t>
            </w:r>
          </w:p>
          <w:p w:rsidR="00532825" w:rsidRPr="00324361" w:rsidRDefault="00532825" w:rsidP="00532825">
            <w:pPr>
              <w:numPr>
                <w:ilvl w:val="1"/>
                <w:numId w:val="4"/>
              </w:numPr>
              <w:overflowPunct w:val="0"/>
              <w:autoSpaceDE w:val="0"/>
              <w:autoSpaceDN w:val="0"/>
              <w:adjustRightInd w:val="0"/>
              <w:spacing w:before="40" w:after="0" w:line="240" w:lineRule="auto"/>
              <w:textAlignment w:val="baseline"/>
              <w:rPr>
                <w:rFonts w:cs="Arial"/>
              </w:rPr>
            </w:pPr>
            <w:r w:rsidRPr="00324361">
              <w:rPr>
                <w:rFonts w:cs="Arial"/>
              </w:rPr>
              <w:t xml:space="preserve">The reduction of re-offending through Integrated offender management </w:t>
            </w:r>
          </w:p>
          <w:p w:rsidR="00532825" w:rsidRDefault="00532825" w:rsidP="00532825">
            <w:pPr>
              <w:numPr>
                <w:ilvl w:val="0"/>
                <w:numId w:val="1"/>
              </w:numPr>
              <w:overflowPunct w:val="0"/>
              <w:autoSpaceDE w:val="0"/>
              <w:autoSpaceDN w:val="0"/>
              <w:adjustRightInd w:val="0"/>
              <w:spacing w:before="40" w:after="0" w:line="240" w:lineRule="auto"/>
              <w:textAlignment w:val="baseline"/>
              <w:rPr>
                <w:rFonts w:cs="Arial"/>
              </w:rPr>
            </w:pPr>
            <w:r w:rsidRPr="00457AE5">
              <w:rPr>
                <w:rFonts w:cs="Arial"/>
              </w:rPr>
              <w:t xml:space="preserve">Contribute to MOPAC’s oversight of critical community issues, e.g. stop and search and hate crime </w:t>
            </w:r>
          </w:p>
          <w:p w:rsidR="00532825" w:rsidRPr="00457AE5" w:rsidRDefault="00532825" w:rsidP="00532825">
            <w:pPr>
              <w:numPr>
                <w:ilvl w:val="0"/>
                <w:numId w:val="1"/>
              </w:numPr>
              <w:overflowPunct w:val="0"/>
              <w:autoSpaceDE w:val="0"/>
              <w:autoSpaceDN w:val="0"/>
              <w:adjustRightInd w:val="0"/>
              <w:spacing w:before="40" w:after="0" w:line="240" w:lineRule="auto"/>
              <w:textAlignment w:val="baseline"/>
              <w:rPr>
                <w:rFonts w:cs="Arial"/>
              </w:rPr>
            </w:pPr>
            <w:r w:rsidRPr="00457AE5">
              <w:rPr>
                <w:rFonts w:cs="Arial"/>
              </w:rPr>
              <w:t xml:space="preserve">Support commissioning arrangements to ensure that the application of MOPAC funds effectively meet the Mayoral priorities to support crime reduction, community safety, reduce reoffending, supporting victims and community engagement. </w:t>
            </w:r>
          </w:p>
          <w:p w:rsidR="00532825" w:rsidRPr="00324361" w:rsidRDefault="00532825" w:rsidP="00532825">
            <w:pPr>
              <w:numPr>
                <w:ilvl w:val="0"/>
                <w:numId w:val="1"/>
              </w:numPr>
              <w:overflowPunct w:val="0"/>
              <w:autoSpaceDE w:val="0"/>
              <w:autoSpaceDN w:val="0"/>
              <w:adjustRightInd w:val="0"/>
              <w:spacing w:before="40" w:after="0" w:line="240" w:lineRule="auto"/>
              <w:textAlignment w:val="baseline"/>
            </w:pPr>
            <w:r>
              <w:t xml:space="preserve">Support the Programme Manager in identifying </w:t>
            </w:r>
            <w:r w:rsidRPr="00324361">
              <w:t xml:space="preserve">interventions </w:t>
            </w:r>
            <w:r>
              <w:t>in support of underperforming partnerships</w:t>
            </w:r>
            <w:r w:rsidRPr="00324361">
              <w:t xml:space="preserve"> </w:t>
            </w:r>
          </w:p>
          <w:p w:rsidR="00532825" w:rsidRDefault="00532825" w:rsidP="00532825">
            <w:pPr>
              <w:numPr>
                <w:ilvl w:val="0"/>
                <w:numId w:val="1"/>
              </w:numPr>
              <w:overflowPunct w:val="0"/>
              <w:autoSpaceDE w:val="0"/>
              <w:autoSpaceDN w:val="0"/>
              <w:adjustRightInd w:val="0"/>
              <w:spacing w:before="40" w:after="0" w:line="240" w:lineRule="auto"/>
              <w:textAlignment w:val="baseline"/>
              <w:rPr>
                <w:rFonts w:cs="Arial"/>
              </w:rPr>
            </w:pPr>
            <w:r w:rsidRPr="00457AE5">
              <w:rPr>
                <w:rFonts w:cs="Arial"/>
              </w:rPr>
              <w:t>Assist the establishment and maintenance of Safer Neighbourhood Boards in London Boroughs, giving local Londoners and victims a greater voice.</w:t>
            </w:r>
          </w:p>
          <w:p w:rsidR="00532825" w:rsidRDefault="00532825" w:rsidP="00532825">
            <w:pPr>
              <w:numPr>
                <w:ilvl w:val="0"/>
                <w:numId w:val="1"/>
              </w:numPr>
              <w:overflowPunct w:val="0"/>
              <w:autoSpaceDE w:val="0"/>
              <w:autoSpaceDN w:val="0"/>
              <w:adjustRightInd w:val="0"/>
              <w:spacing w:before="40" w:after="0" w:line="240" w:lineRule="auto"/>
              <w:textAlignment w:val="baseline"/>
            </w:pPr>
            <w:r>
              <w:t>Support the delivery of</w:t>
            </w:r>
            <w:r w:rsidRPr="00324361">
              <w:t xml:space="preserve"> effective custody oversight and identify areas for improvement by the MPS and MOPAC</w:t>
            </w:r>
          </w:p>
          <w:p w:rsidR="00532825" w:rsidRPr="00324361" w:rsidRDefault="00532825" w:rsidP="00532825">
            <w:pPr>
              <w:numPr>
                <w:ilvl w:val="0"/>
                <w:numId w:val="1"/>
              </w:numPr>
              <w:overflowPunct w:val="0"/>
              <w:autoSpaceDE w:val="0"/>
              <w:autoSpaceDN w:val="0"/>
              <w:adjustRightInd w:val="0"/>
              <w:spacing w:before="40" w:after="0" w:line="240" w:lineRule="auto"/>
              <w:textAlignment w:val="baseline"/>
            </w:pPr>
            <w:r>
              <w:t>Provide support to the Programme Manager in the production, publication and delivery of relevant Mayoral policies and strategies as set out in the Police and Crime Plan.</w:t>
            </w:r>
          </w:p>
          <w:p w:rsidR="00532825" w:rsidRDefault="00532825" w:rsidP="00532825">
            <w:pPr>
              <w:numPr>
                <w:ilvl w:val="0"/>
                <w:numId w:val="1"/>
              </w:numPr>
              <w:overflowPunct w:val="0"/>
              <w:autoSpaceDE w:val="0"/>
              <w:autoSpaceDN w:val="0"/>
              <w:adjustRightInd w:val="0"/>
              <w:spacing w:before="40" w:after="0" w:line="240" w:lineRule="auto"/>
              <w:textAlignment w:val="baseline"/>
            </w:pPr>
            <w:r>
              <w:t xml:space="preserve">Support </w:t>
            </w:r>
            <w:r w:rsidRPr="00324361">
              <w:t xml:space="preserve">matrix management arrangements </w:t>
            </w:r>
            <w:r>
              <w:t xml:space="preserve">in </w:t>
            </w:r>
            <w:r w:rsidRPr="00324361">
              <w:t xml:space="preserve">area based teams </w:t>
            </w:r>
            <w:r>
              <w:t xml:space="preserve">working to </w:t>
            </w:r>
            <w:r w:rsidRPr="00324361">
              <w:t xml:space="preserve">deliver a range of programmes and services whilst </w:t>
            </w:r>
            <w:r>
              <w:t xml:space="preserve">supporting </w:t>
            </w:r>
            <w:r w:rsidRPr="00324361">
              <w:t>work on priority policy issues.</w:t>
            </w:r>
          </w:p>
          <w:p w:rsidR="00532825" w:rsidRPr="00176F21" w:rsidRDefault="00532825" w:rsidP="00573C57">
            <w:pPr>
              <w:overflowPunct w:val="0"/>
              <w:autoSpaceDE w:val="0"/>
              <w:autoSpaceDN w:val="0"/>
              <w:adjustRightInd w:val="0"/>
              <w:spacing w:before="40" w:after="0" w:line="240" w:lineRule="auto"/>
              <w:textAlignment w:val="baseline"/>
            </w:pPr>
          </w:p>
        </w:tc>
      </w:tr>
      <w:tr w:rsidR="00532825" w:rsidRPr="00A321A5" w:rsidTr="00573C57">
        <w:tc>
          <w:tcPr>
            <w:tcW w:w="10184" w:type="dxa"/>
            <w:gridSpan w:val="4"/>
            <w:tcBorders>
              <w:top w:val="single" w:sz="6" w:space="0" w:color="auto"/>
              <w:left w:val="single" w:sz="6" w:space="0" w:color="auto"/>
              <w:bottom w:val="single" w:sz="6" w:space="0" w:color="auto"/>
              <w:right w:val="single" w:sz="6" w:space="0" w:color="auto"/>
            </w:tcBorders>
            <w:shd w:val="pct20" w:color="auto" w:fill="auto"/>
          </w:tcPr>
          <w:p w:rsidR="00532825" w:rsidRPr="0026205D" w:rsidRDefault="00532825" w:rsidP="00573C57">
            <w:pPr>
              <w:spacing w:after="40"/>
              <w:rPr>
                <w:b/>
              </w:rPr>
            </w:pPr>
            <w:r w:rsidRPr="00B10380">
              <w:br w:type="page"/>
            </w:r>
            <w:r w:rsidRPr="0026205D">
              <w:rPr>
                <w:b/>
              </w:rPr>
              <w:t xml:space="preserve">Working Relationships and Contacts </w:t>
            </w:r>
          </w:p>
        </w:tc>
      </w:tr>
      <w:tr w:rsidR="00532825" w:rsidRPr="00A321A5" w:rsidTr="00573C57">
        <w:tc>
          <w:tcPr>
            <w:tcW w:w="10184" w:type="dxa"/>
            <w:gridSpan w:val="4"/>
            <w:tcBorders>
              <w:top w:val="single" w:sz="6" w:space="0" w:color="auto"/>
              <w:left w:val="single" w:sz="6" w:space="0" w:color="auto"/>
              <w:bottom w:val="single" w:sz="6" w:space="0" w:color="auto"/>
              <w:right w:val="single" w:sz="6" w:space="0" w:color="auto"/>
            </w:tcBorders>
          </w:tcPr>
          <w:p w:rsidR="00532825" w:rsidRDefault="00532825" w:rsidP="00573C57">
            <w:pPr>
              <w:spacing w:after="40"/>
            </w:pPr>
            <w:r w:rsidRPr="00A321A5">
              <w:t xml:space="preserve">The post holder will be required to </w:t>
            </w:r>
            <w:r>
              <w:t>help build and maintain</w:t>
            </w:r>
            <w:r w:rsidRPr="00A321A5">
              <w:t xml:space="preserve"> effective working relationships across the GLA family, partner agencies and their representative bodies, the Metropolitan Police and statutory and third sector partners.  There will also be working relationships </w:t>
            </w:r>
            <w:r>
              <w:t xml:space="preserve">with </w:t>
            </w:r>
            <w:r w:rsidRPr="00A321A5">
              <w:t>Safer Neighbourhoods Boards and Independent Custody Visit Scheme Boards.</w:t>
            </w:r>
          </w:p>
          <w:p w:rsidR="00532825" w:rsidRPr="00B10380" w:rsidRDefault="00532825" w:rsidP="00573C57">
            <w:pPr>
              <w:spacing w:after="40"/>
            </w:pPr>
          </w:p>
        </w:tc>
      </w:tr>
    </w:tbl>
    <w:p w:rsidR="00532825" w:rsidRDefault="00532825" w:rsidP="00532825">
      <w:r>
        <w:br w:type="page"/>
      </w:r>
    </w:p>
    <w:tbl>
      <w:tblPr>
        <w:tblW w:w="1018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4"/>
      </w:tblGrid>
      <w:tr w:rsidR="00532825" w:rsidRPr="004B2AC5" w:rsidTr="00573C57">
        <w:tc>
          <w:tcPr>
            <w:tcW w:w="10184" w:type="dxa"/>
            <w:shd w:val="pct20" w:color="auto" w:fill="auto"/>
          </w:tcPr>
          <w:p w:rsidR="00532825" w:rsidRPr="004B2AC5" w:rsidRDefault="00DA66CD" w:rsidP="00573C57">
            <w:pPr>
              <w:numPr>
                <w:ilvl w:val="12"/>
                <w:numId w:val="0"/>
              </w:numPr>
              <w:spacing w:after="40"/>
              <w:rPr>
                <w:rFonts w:cs="Arial"/>
              </w:rPr>
            </w:pPr>
            <w:r>
              <w:rPr>
                <w:rFonts w:cs="Arial"/>
                <w:b/>
              </w:rPr>
              <w:lastRenderedPageBreak/>
              <w:t xml:space="preserve">Person </w:t>
            </w:r>
            <w:r w:rsidR="006A4E9E">
              <w:rPr>
                <w:rFonts w:cs="Arial"/>
                <w:b/>
              </w:rPr>
              <w:t xml:space="preserve"> specification</w:t>
            </w:r>
            <w:r w:rsidR="00532825">
              <w:rPr>
                <w:rFonts w:cs="Arial"/>
                <w:b/>
              </w:rPr>
              <w:t xml:space="preserve">  </w:t>
            </w:r>
          </w:p>
        </w:tc>
      </w:tr>
      <w:tr w:rsidR="00532825" w:rsidRPr="004B2AC5" w:rsidTr="00573C57">
        <w:tc>
          <w:tcPr>
            <w:tcW w:w="10184" w:type="dxa"/>
          </w:tcPr>
          <w:p w:rsidR="00532825" w:rsidRDefault="00DA66CD" w:rsidP="00573C57">
            <w:pPr>
              <w:spacing w:line="240" w:lineRule="auto"/>
            </w:pPr>
            <w:r>
              <w:rPr>
                <w:b/>
              </w:rPr>
              <w:br/>
            </w:r>
            <w:r w:rsidR="006A4E9E">
              <w:rPr>
                <w:b/>
              </w:rPr>
              <w:t>Required knowledge and e</w:t>
            </w:r>
            <w:r w:rsidR="006A4E9E" w:rsidRPr="006A4E9E">
              <w:rPr>
                <w:b/>
              </w:rPr>
              <w:t>xperience</w:t>
            </w:r>
            <w:r w:rsidR="006A4E9E">
              <w:br/>
            </w:r>
            <w:r>
              <w:t xml:space="preserve">1. </w:t>
            </w:r>
            <w:r w:rsidR="00532825">
              <w:t>Experience of programme management and policy development and implementation.</w:t>
            </w:r>
            <w:r w:rsidR="006A4E9E">
              <w:br/>
            </w:r>
            <w:r>
              <w:t xml:space="preserve">2. </w:t>
            </w:r>
            <w:r w:rsidR="00532825">
              <w:t xml:space="preserve">Knowledge </w:t>
            </w:r>
            <w:r w:rsidR="00532825" w:rsidRPr="004E274F">
              <w:t>of policing and crime.</w:t>
            </w:r>
            <w:r w:rsidR="006A4E9E">
              <w:br/>
            </w:r>
            <w:r>
              <w:t xml:space="preserve">3. </w:t>
            </w:r>
            <w:r w:rsidR="00532825">
              <w:t>Ability</w:t>
            </w:r>
            <w:r w:rsidR="00532825" w:rsidRPr="004E274F">
              <w:t xml:space="preserve"> to build relationships, influence and negotiate with stakeholders and partners. </w:t>
            </w:r>
          </w:p>
          <w:p w:rsidR="00532825" w:rsidRPr="00584F9D" w:rsidRDefault="00532825" w:rsidP="00573C57">
            <w:pPr>
              <w:spacing w:after="0" w:line="240" w:lineRule="auto"/>
              <w:rPr>
                <w:b/>
                <w:szCs w:val="21"/>
              </w:rPr>
            </w:pPr>
            <w:r w:rsidRPr="00584F9D">
              <w:rPr>
                <w:b/>
                <w:szCs w:val="21"/>
              </w:rPr>
              <w:t>Required Competencies</w:t>
            </w:r>
          </w:p>
          <w:p w:rsidR="00532825" w:rsidRPr="00584F9D" w:rsidRDefault="00532825" w:rsidP="00573C57">
            <w:pPr>
              <w:spacing w:after="0" w:line="240" w:lineRule="auto"/>
              <w:rPr>
                <w:b/>
                <w:szCs w:val="21"/>
              </w:rPr>
            </w:pPr>
            <w:bookmarkStart w:id="0" w:name="_GoBack"/>
            <w:bookmarkEnd w:id="0"/>
            <w:r w:rsidRPr="00584F9D">
              <w:rPr>
                <w:b/>
                <w:szCs w:val="21"/>
              </w:rPr>
              <w:t>Setting Direction</w:t>
            </w:r>
          </w:p>
          <w:p w:rsidR="00532825" w:rsidRPr="00584F9D" w:rsidRDefault="00532825" w:rsidP="00532825">
            <w:pPr>
              <w:numPr>
                <w:ilvl w:val="0"/>
                <w:numId w:val="3"/>
              </w:numPr>
              <w:spacing w:after="0" w:line="240" w:lineRule="auto"/>
              <w:rPr>
                <w:szCs w:val="21"/>
              </w:rPr>
            </w:pPr>
            <w:r w:rsidRPr="00584F9D">
              <w:rPr>
                <w:szCs w:val="21"/>
              </w:rPr>
              <w:t>Seeing the big picture</w:t>
            </w:r>
            <w:r>
              <w:rPr>
                <w:szCs w:val="21"/>
              </w:rPr>
              <w:t xml:space="preserve"> - </w:t>
            </w:r>
            <w:r w:rsidRPr="001E07C8">
              <w:rPr>
                <w:szCs w:val="21"/>
              </w:rPr>
              <w:t>Be alert to emerging issues and trends which might impact or benefit own and team’s work</w:t>
            </w:r>
          </w:p>
          <w:p w:rsidR="00532825" w:rsidRPr="00584F9D" w:rsidRDefault="00532825" w:rsidP="00532825">
            <w:pPr>
              <w:numPr>
                <w:ilvl w:val="0"/>
                <w:numId w:val="3"/>
              </w:numPr>
              <w:spacing w:after="0" w:line="240" w:lineRule="auto"/>
              <w:rPr>
                <w:szCs w:val="21"/>
              </w:rPr>
            </w:pPr>
            <w:r w:rsidRPr="00584F9D">
              <w:rPr>
                <w:szCs w:val="21"/>
              </w:rPr>
              <w:t>Changing and improving</w:t>
            </w:r>
            <w:r>
              <w:rPr>
                <w:szCs w:val="21"/>
              </w:rPr>
              <w:t xml:space="preserve"> - </w:t>
            </w:r>
            <w:r w:rsidRPr="001E07C8">
              <w:rPr>
                <w:szCs w:val="21"/>
              </w:rPr>
              <w:t>Prepare for and respond appropriately to the range of possible effects that change may have on own role/team</w:t>
            </w:r>
          </w:p>
          <w:p w:rsidR="00532825" w:rsidRPr="00584F9D" w:rsidRDefault="00532825" w:rsidP="00532825">
            <w:pPr>
              <w:numPr>
                <w:ilvl w:val="0"/>
                <w:numId w:val="3"/>
              </w:numPr>
              <w:spacing w:after="0" w:line="240" w:lineRule="auto"/>
              <w:rPr>
                <w:szCs w:val="21"/>
              </w:rPr>
            </w:pPr>
            <w:r w:rsidRPr="00584F9D">
              <w:rPr>
                <w:szCs w:val="21"/>
              </w:rPr>
              <w:t xml:space="preserve">Making effective decisions </w:t>
            </w:r>
            <w:r>
              <w:rPr>
                <w:szCs w:val="21"/>
              </w:rPr>
              <w:t xml:space="preserve">- </w:t>
            </w:r>
            <w:r w:rsidRPr="00584F9D">
              <w:rPr>
                <w:szCs w:val="21"/>
              </w:rPr>
              <w:t xml:space="preserve"> </w:t>
            </w:r>
            <w:r w:rsidRPr="001E07C8">
              <w:rPr>
                <w:szCs w:val="21"/>
              </w:rPr>
              <w:t>Invite challenge and where appropriate involve others in decision making to help build engagement and present robust recommendations</w:t>
            </w:r>
          </w:p>
          <w:p w:rsidR="00532825" w:rsidRDefault="00532825" w:rsidP="00573C57">
            <w:pPr>
              <w:spacing w:after="0" w:line="240" w:lineRule="auto"/>
              <w:rPr>
                <w:b/>
                <w:szCs w:val="21"/>
              </w:rPr>
            </w:pPr>
          </w:p>
          <w:p w:rsidR="00532825" w:rsidRPr="00584F9D" w:rsidRDefault="00532825" w:rsidP="00573C57">
            <w:pPr>
              <w:spacing w:after="0" w:line="240" w:lineRule="auto"/>
              <w:rPr>
                <w:b/>
                <w:szCs w:val="21"/>
              </w:rPr>
            </w:pPr>
            <w:r w:rsidRPr="00584F9D">
              <w:rPr>
                <w:b/>
                <w:szCs w:val="21"/>
              </w:rPr>
              <w:t>Engaging People</w:t>
            </w:r>
          </w:p>
          <w:p w:rsidR="00532825" w:rsidRPr="00584F9D" w:rsidRDefault="00532825" w:rsidP="00532825">
            <w:pPr>
              <w:numPr>
                <w:ilvl w:val="0"/>
                <w:numId w:val="3"/>
              </w:numPr>
              <w:spacing w:after="0" w:line="240" w:lineRule="auto"/>
              <w:rPr>
                <w:szCs w:val="21"/>
              </w:rPr>
            </w:pPr>
            <w:r w:rsidRPr="00584F9D">
              <w:rPr>
                <w:szCs w:val="21"/>
              </w:rPr>
              <w:t>Leading and communicating</w:t>
            </w:r>
            <w:r>
              <w:rPr>
                <w:szCs w:val="21"/>
              </w:rPr>
              <w:t xml:space="preserve"> - </w:t>
            </w:r>
            <w:r w:rsidRPr="001E07C8">
              <w:rPr>
                <w:szCs w:val="21"/>
              </w:rPr>
              <w:t>Communicate in a succinct, engaging manner and stand ground when needed</w:t>
            </w:r>
          </w:p>
          <w:p w:rsidR="00532825" w:rsidRPr="00584F9D" w:rsidRDefault="00532825" w:rsidP="00532825">
            <w:pPr>
              <w:numPr>
                <w:ilvl w:val="0"/>
                <w:numId w:val="3"/>
              </w:numPr>
              <w:spacing w:after="0" w:line="240" w:lineRule="auto"/>
              <w:rPr>
                <w:szCs w:val="21"/>
              </w:rPr>
            </w:pPr>
            <w:r w:rsidRPr="00584F9D">
              <w:rPr>
                <w:szCs w:val="21"/>
              </w:rPr>
              <w:t xml:space="preserve">Collaborating and </w:t>
            </w:r>
            <w:r w:rsidRPr="00A7467C">
              <w:rPr>
                <w:szCs w:val="21"/>
              </w:rPr>
              <w:t xml:space="preserve">Cross Team Working </w:t>
            </w:r>
            <w:r>
              <w:rPr>
                <w:szCs w:val="21"/>
              </w:rPr>
              <w:t xml:space="preserve">- </w:t>
            </w:r>
            <w:r w:rsidRPr="001E07C8">
              <w:rPr>
                <w:szCs w:val="21"/>
              </w:rPr>
              <w:t>Readily share resources to support higher priority work, showing pragmatism and support for the shared goals of the organisation</w:t>
            </w:r>
          </w:p>
          <w:p w:rsidR="00532825" w:rsidRPr="00584F9D" w:rsidRDefault="00532825" w:rsidP="00532825">
            <w:pPr>
              <w:numPr>
                <w:ilvl w:val="0"/>
                <w:numId w:val="3"/>
              </w:numPr>
              <w:spacing w:after="0" w:line="240" w:lineRule="auto"/>
              <w:rPr>
                <w:szCs w:val="21"/>
              </w:rPr>
            </w:pPr>
            <w:r w:rsidRPr="00584F9D">
              <w:rPr>
                <w:szCs w:val="21"/>
              </w:rPr>
              <w:t>Building capability for all</w:t>
            </w:r>
            <w:r>
              <w:rPr>
                <w:szCs w:val="21"/>
              </w:rPr>
              <w:t xml:space="preserve"> - </w:t>
            </w:r>
            <w:r w:rsidRPr="001E07C8">
              <w:rPr>
                <w:szCs w:val="21"/>
              </w:rPr>
              <w:t>Proactively manage own career and identify own learning needs with line manager, plan and carry out work-place learning opportunities</w:t>
            </w:r>
          </w:p>
          <w:p w:rsidR="00532825" w:rsidRDefault="00532825" w:rsidP="00573C57">
            <w:pPr>
              <w:spacing w:after="0" w:line="240" w:lineRule="auto"/>
              <w:rPr>
                <w:b/>
                <w:szCs w:val="21"/>
              </w:rPr>
            </w:pPr>
          </w:p>
          <w:p w:rsidR="00532825" w:rsidRPr="00584F9D" w:rsidRDefault="00532825" w:rsidP="00573C57">
            <w:pPr>
              <w:spacing w:after="0" w:line="240" w:lineRule="auto"/>
              <w:rPr>
                <w:b/>
                <w:szCs w:val="21"/>
              </w:rPr>
            </w:pPr>
            <w:r w:rsidRPr="00584F9D">
              <w:rPr>
                <w:b/>
                <w:szCs w:val="21"/>
              </w:rPr>
              <w:t>Delivering Results</w:t>
            </w:r>
          </w:p>
          <w:p w:rsidR="00532825" w:rsidRPr="00584F9D" w:rsidRDefault="00532825" w:rsidP="00532825">
            <w:pPr>
              <w:numPr>
                <w:ilvl w:val="0"/>
                <w:numId w:val="3"/>
              </w:numPr>
              <w:spacing w:after="0" w:line="240" w:lineRule="auto"/>
              <w:rPr>
                <w:szCs w:val="21"/>
              </w:rPr>
            </w:pPr>
            <w:r w:rsidRPr="00584F9D">
              <w:rPr>
                <w:szCs w:val="21"/>
              </w:rPr>
              <w:t>Achieving outcomes</w:t>
            </w:r>
            <w:r>
              <w:rPr>
                <w:szCs w:val="21"/>
              </w:rPr>
              <w:t xml:space="preserve"> - </w:t>
            </w:r>
            <w:r w:rsidRPr="00C81470">
              <w:rPr>
                <w:szCs w:val="21"/>
              </w:rPr>
              <w:t>Engage effectively and intelligently with delivery partners in order to define and /or improve service delivery</w:t>
            </w:r>
          </w:p>
          <w:p w:rsidR="00532825" w:rsidRPr="00584F9D" w:rsidRDefault="00532825" w:rsidP="00532825">
            <w:pPr>
              <w:numPr>
                <w:ilvl w:val="0"/>
                <w:numId w:val="3"/>
              </w:numPr>
              <w:spacing w:after="0" w:line="240" w:lineRule="auto"/>
              <w:rPr>
                <w:szCs w:val="21"/>
              </w:rPr>
            </w:pPr>
            <w:r w:rsidRPr="00584F9D">
              <w:rPr>
                <w:szCs w:val="21"/>
              </w:rPr>
              <w:t>Delivering value for money</w:t>
            </w:r>
            <w:r>
              <w:rPr>
                <w:szCs w:val="21"/>
              </w:rPr>
              <w:t xml:space="preserve"> - </w:t>
            </w:r>
            <w:r w:rsidRPr="00C81470">
              <w:rPr>
                <w:szCs w:val="21"/>
              </w:rPr>
              <w:t>Cultivate and encourage an awareness of cost, using clear simple examples of benefits and how to measure outcomes</w:t>
            </w:r>
          </w:p>
          <w:p w:rsidR="00532825" w:rsidRPr="00584F9D" w:rsidRDefault="00532825" w:rsidP="00532825">
            <w:pPr>
              <w:numPr>
                <w:ilvl w:val="0"/>
                <w:numId w:val="3"/>
              </w:numPr>
              <w:spacing w:after="0" w:line="240" w:lineRule="auto"/>
              <w:rPr>
                <w:szCs w:val="21"/>
              </w:rPr>
            </w:pPr>
            <w:r w:rsidRPr="00584F9D">
              <w:rPr>
                <w:szCs w:val="21"/>
              </w:rPr>
              <w:t>Managing a quality service</w:t>
            </w:r>
            <w:r>
              <w:rPr>
                <w:szCs w:val="21"/>
              </w:rPr>
              <w:t xml:space="preserve"> - </w:t>
            </w:r>
            <w:r w:rsidRPr="00C81470">
              <w:rPr>
                <w:szCs w:val="21"/>
              </w:rPr>
              <w:t>Develop proposals to improve the quality of service with involvement from a diverse range of staff, stakeholders or delivery partners</w:t>
            </w:r>
          </w:p>
          <w:p w:rsidR="00532825" w:rsidRPr="00584F9D" w:rsidRDefault="00532825" w:rsidP="00532825">
            <w:pPr>
              <w:numPr>
                <w:ilvl w:val="0"/>
                <w:numId w:val="3"/>
              </w:numPr>
              <w:spacing w:after="0" w:line="240" w:lineRule="auto"/>
              <w:rPr>
                <w:szCs w:val="21"/>
              </w:rPr>
            </w:pPr>
            <w:r w:rsidRPr="00584F9D">
              <w:rPr>
                <w:szCs w:val="21"/>
              </w:rPr>
              <w:t xml:space="preserve">Delivering at pace </w:t>
            </w:r>
            <w:r>
              <w:rPr>
                <w:szCs w:val="21"/>
              </w:rPr>
              <w:t xml:space="preserve">- </w:t>
            </w:r>
            <w:r w:rsidRPr="00C81470">
              <w:rPr>
                <w:szCs w:val="21"/>
              </w:rPr>
              <w:t>Regularly monitor own and team’s work against milestones or targets and act promptly to keep work on track and maintain performance</w:t>
            </w:r>
          </w:p>
          <w:p w:rsidR="00532825" w:rsidRPr="003044A7" w:rsidRDefault="00532825" w:rsidP="00573C57">
            <w:pPr>
              <w:spacing w:after="0" w:line="240" w:lineRule="auto"/>
              <w:ind w:left="360"/>
            </w:pPr>
          </w:p>
        </w:tc>
      </w:tr>
      <w:tr w:rsidR="00532825" w:rsidRPr="004B2AC5" w:rsidTr="00573C57">
        <w:tc>
          <w:tcPr>
            <w:tcW w:w="10184" w:type="dxa"/>
            <w:shd w:val="pct20" w:color="auto" w:fill="auto"/>
          </w:tcPr>
          <w:p w:rsidR="00532825" w:rsidRPr="004E3ADF" w:rsidRDefault="00532825" w:rsidP="00573C57">
            <w:pPr>
              <w:numPr>
                <w:ilvl w:val="12"/>
                <w:numId w:val="0"/>
              </w:numPr>
              <w:spacing w:beforeLines="40" w:before="96" w:after="40"/>
              <w:rPr>
                <w:rFonts w:cs="Arial"/>
                <w:b/>
              </w:rPr>
            </w:pPr>
            <w:r w:rsidRPr="004B2AC5">
              <w:rPr>
                <w:rFonts w:cs="Arial"/>
                <w:b/>
              </w:rPr>
              <w:t>General Responsibilities</w:t>
            </w:r>
            <w:r>
              <w:rPr>
                <w:rFonts w:cs="Arial"/>
                <w:b/>
              </w:rPr>
              <w:t xml:space="preserve"> </w:t>
            </w:r>
          </w:p>
        </w:tc>
      </w:tr>
      <w:tr w:rsidR="00532825" w:rsidRPr="004B2AC5" w:rsidTr="00573C57">
        <w:tc>
          <w:tcPr>
            <w:tcW w:w="10184" w:type="dxa"/>
          </w:tcPr>
          <w:p w:rsidR="00532825" w:rsidRPr="00584F9D" w:rsidRDefault="00532825" w:rsidP="00532825">
            <w:pPr>
              <w:numPr>
                <w:ilvl w:val="0"/>
                <w:numId w:val="2"/>
              </w:numPr>
              <w:spacing w:after="0" w:line="240" w:lineRule="auto"/>
              <w:rPr>
                <w:szCs w:val="21"/>
              </w:rPr>
            </w:pPr>
            <w:r w:rsidRPr="00584F9D">
              <w:rPr>
                <w:szCs w:val="21"/>
              </w:rPr>
              <w:t>To adhere to MOPAC’s Equality &amp; Diversity and Equal Opportunities policies in all activities.</w:t>
            </w:r>
          </w:p>
          <w:p w:rsidR="00532825" w:rsidRPr="00584F9D" w:rsidRDefault="00532825" w:rsidP="00532825">
            <w:pPr>
              <w:numPr>
                <w:ilvl w:val="0"/>
                <w:numId w:val="2"/>
              </w:numPr>
              <w:spacing w:after="0" w:line="240" w:lineRule="auto"/>
              <w:rPr>
                <w:szCs w:val="21"/>
              </w:rPr>
            </w:pPr>
            <w:r w:rsidRPr="00584F9D">
              <w:rPr>
                <w:szCs w:val="21"/>
              </w:rPr>
              <w:t>To be responsible for your own health and safety and that of your colleagues and all others in the workplace, in accordance with MOPAC Health and Safety policies.</w:t>
            </w:r>
          </w:p>
          <w:p w:rsidR="00532825" w:rsidRPr="00584F9D" w:rsidRDefault="00532825" w:rsidP="00532825">
            <w:pPr>
              <w:numPr>
                <w:ilvl w:val="0"/>
                <w:numId w:val="2"/>
              </w:numPr>
              <w:spacing w:after="0" w:line="240" w:lineRule="auto"/>
              <w:rPr>
                <w:szCs w:val="21"/>
              </w:rPr>
            </w:pPr>
            <w:r w:rsidRPr="00584F9D">
              <w:rPr>
                <w:szCs w:val="21"/>
              </w:rPr>
              <w:t>To work in accordance with data protection policies and adhere to Freedom of Information policies where appropriate.</w:t>
            </w:r>
          </w:p>
          <w:p w:rsidR="00532825" w:rsidRPr="007A45CD" w:rsidRDefault="00532825" w:rsidP="00532825">
            <w:pPr>
              <w:numPr>
                <w:ilvl w:val="0"/>
                <w:numId w:val="2"/>
              </w:numPr>
              <w:spacing w:after="0" w:line="240" w:lineRule="auto"/>
              <w:rPr>
                <w:rFonts w:cs="Arial"/>
              </w:rPr>
            </w:pPr>
            <w:r w:rsidRPr="00584F9D">
              <w:rPr>
                <w:szCs w:val="21"/>
              </w:rPr>
              <w:t>To undertake such other duties as may be reasonably expected.</w:t>
            </w:r>
          </w:p>
          <w:p w:rsidR="00532825" w:rsidRPr="004B2AC5" w:rsidRDefault="00532825" w:rsidP="00573C57">
            <w:pPr>
              <w:spacing w:after="0" w:line="240" w:lineRule="auto"/>
              <w:ind w:left="360"/>
              <w:rPr>
                <w:rFonts w:cs="Arial"/>
              </w:rPr>
            </w:pPr>
          </w:p>
        </w:tc>
      </w:tr>
    </w:tbl>
    <w:p w:rsidR="00A369A8" w:rsidRDefault="00DA66CD"/>
    <w:sectPr w:rsidR="00A36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C88"/>
    <w:multiLevelType w:val="hybridMultilevel"/>
    <w:tmpl w:val="982A033E"/>
    <w:lvl w:ilvl="0" w:tplc="69BA723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1F31BEE"/>
    <w:multiLevelType w:val="hybridMultilevel"/>
    <w:tmpl w:val="0C8231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4133580"/>
    <w:multiLevelType w:val="hybridMultilevel"/>
    <w:tmpl w:val="4A38C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CF2596"/>
    <w:multiLevelType w:val="hybridMultilevel"/>
    <w:tmpl w:val="536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25"/>
    <w:rsid w:val="00427643"/>
    <w:rsid w:val="00532825"/>
    <w:rsid w:val="006A4E9E"/>
    <w:rsid w:val="007E36C6"/>
    <w:rsid w:val="00896E36"/>
    <w:rsid w:val="00A61A62"/>
    <w:rsid w:val="00DA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25"/>
    <w:pPr>
      <w:ind w:left="720"/>
    </w:pPr>
  </w:style>
  <w:style w:type="paragraph" w:styleId="BalloonText">
    <w:name w:val="Balloon Text"/>
    <w:basedOn w:val="Normal"/>
    <w:link w:val="BalloonTextChar"/>
    <w:uiPriority w:val="99"/>
    <w:semiHidden/>
    <w:unhideWhenUsed/>
    <w:rsid w:val="0053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25"/>
    <w:pPr>
      <w:ind w:left="720"/>
    </w:pPr>
  </w:style>
  <w:style w:type="paragraph" w:styleId="BalloonText">
    <w:name w:val="Balloon Text"/>
    <w:basedOn w:val="Normal"/>
    <w:link w:val="BalloonTextChar"/>
    <w:uiPriority w:val="99"/>
    <w:semiHidden/>
    <w:unhideWhenUsed/>
    <w:rsid w:val="0053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DA2F3.4D181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Lemom</dc:creator>
  <cp:lastModifiedBy>Sue Needler</cp:lastModifiedBy>
  <cp:revision>5</cp:revision>
  <dcterms:created xsi:type="dcterms:W3CDTF">2015-03-24T08:27:00Z</dcterms:created>
  <dcterms:modified xsi:type="dcterms:W3CDTF">2015-03-24T09:35:00Z</dcterms:modified>
</cp:coreProperties>
</file>