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5"/>
        <w:tblW w:w="9209" w:type="dxa"/>
        <w:tblLook w:val="04A0" w:firstRow="1" w:lastRow="0" w:firstColumn="1" w:lastColumn="0" w:noHBand="0" w:noVBand="1"/>
      </w:tblPr>
      <w:tblGrid>
        <w:gridCol w:w="2048"/>
        <w:gridCol w:w="195"/>
        <w:gridCol w:w="2573"/>
        <w:gridCol w:w="1984"/>
        <w:gridCol w:w="2409"/>
      </w:tblGrid>
      <w:tr w:rsidR="00303B1C" w:rsidRPr="00303B1C" w:rsidTr="00AF6C8C"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8E06E2">
            <w:pPr>
              <w:jc w:val="center"/>
              <w:rPr>
                <w:b/>
                <w:sz w:val="28"/>
                <w:szCs w:val="28"/>
              </w:rPr>
            </w:pPr>
          </w:p>
          <w:p w:rsidR="00303B1C" w:rsidRPr="00303B1C" w:rsidRDefault="00303B1C" w:rsidP="008E06E2">
            <w:pPr>
              <w:jc w:val="center"/>
              <w:rPr>
                <w:b/>
                <w:sz w:val="32"/>
                <w:szCs w:val="32"/>
              </w:rPr>
            </w:pPr>
            <w:r w:rsidRPr="00303B1C">
              <w:rPr>
                <w:b/>
                <w:sz w:val="32"/>
                <w:szCs w:val="32"/>
              </w:rPr>
              <w:t>Job Description</w:t>
            </w:r>
          </w:p>
          <w:p w:rsidR="00303B1C" w:rsidRPr="00303B1C" w:rsidRDefault="00303B1C" w:rsidP="008E06E2">
            <w:pPr>
              <w:jc w:val="center"/>
            </w:pPr>
          </w:p>
        </w:tc>
      </w:tr>
      <w:tr w:rsidR="00303B1C" w:rsidRPr="00303B1C" w:rsidTr="00AF6C8C">
        <w:trPr>
          <w:trHeight w:val="471"/>
        </w:trPr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8E06E2">
            <w:r w:rsidRPr="00303B1C">
              <w:rPr>
                <w:b/>
              </w:rPr>
              <w:t>Job Title:</w:t>
            </w:r>
          </w:p>
        </w:tc>
        <w:tc>
          <w:tcPr>
            <w:tcW w:w="6966" w:type="dxa"/>
            <w:gridSpan w:val="3"/>
            <w:vAlign w:val="center"/>
          </w:tcPr>
          <w:p w:rsidR="00303B1C" w:rsidRPr="008A1264" w:rsidRDefault="008A1264" w:rsidP="008E06E2">
            <w:r w:rsidRPr="008A1264">
              <w:t>Chief Operating Officer</w:t>
            </w:r>
          </w:p>
        </w:tc>
      </w:tr>
      <w:tr w:rsidR="00D24366" w:rsidRPr="00303B1C" w:rsidTr="00AF6C8C">
        <w:trPr>
          <w:trHeight w:val="420"/>
        </w:trPr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8E06E2">
            <w:r w:rsidRPr="00303B1C">
              <w:rPr>
                <w:b/>
              </w:rPr>
              <w:t>Grade:</w:t>
            </w:r>
          </w:p>
        </w:tc>
        <w:tc>
          <w:tcPr>
            <w:tcW w:w="2573" w:type="dxa"/>
            <w:vAlign w:val="center"/>
          </w:tcPr>
          <w:p w:rsidR="00303B1C" w:rsidRPr="008A1264" w:rsidRDefault="008A1264" w:rsidP="008E06E2">
            <w:r w:rsidRPr="008A1264">
              <w:t>15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03B1C" w:rsidRPr="00303B1C" w:rsidRDefault="00303B1C" w:rsidP="008E06E2">
            <w:r w:rsidRPr="00303B1C">
              <w:rPr>
                <w:b/>
              </w:rPr>
              <w:t>Post No:</w:t>
            </w:r>
          </w:p>
        </w:tc>
        <w:tc>
          <w:tcPr>
            <w:tcW w:w="2409" w:type="dxa"/>
            <w:vAlign w:val="center"/>
          </w:tcPr>
          <w:p w:rsidR="00303B1C" w:rsidRPr="00303B1C" w:rsidRDefault="00303B1C" w:rsidP="008E06E2"/>
        </w:tc>
      </w:tr>
      <w:tr w:rsidR="00303B1C" w:rsidRPr="00303B1C" w:rsidTr="00AF6C8C">
        <w:trPr>
          <w:trHeight w:val="425"/>
        </w:trPr>
        <w:tc>
          <w:tcPr>
            <w:tcW w:w="2243" w:type="dxa"/>
            <w:gridSpan w:val="2"/>
            <w:shd w:val="clear" w:color="auto" w:fill="D9D9D9" w:themeFill="background1" w:themeFillShade="D9"/>
            <w:vAlign w:val="center"/>
          </w:tcPr>
          <w:p w:rsidR="00303B1C" w:rsidRPr="00954430" w:rsidRDefault="00303B1C" w:rsidP="008E06E2">
            <w:r w:rsidRPr="00954430">
              <w:rPr>
                <w:b/>
              </w:rPr>
              <w:t>Directorate:</w:t>
            </w:r>
          </w:p>
        </w:tc>
        <w:tc>
          <w:tcPr>
            <w:tcW w:w="6966" w:type="dxa"/>
            <w:gridSpan w:val="3"/>
            <w:vAlign w:val="center"/>
          </w:tcPr>
          <w:p w:rsidR="00303B1C" w:rsidRPr="00954430" w:rsidRDefault="0023778B" w:rsidP="008E06E2">
            <w:r w:rsidRPr="00954430">
              <w:t xml:space="preserve">Corporate Operations  </w:t>
            </w:r>
          </w:p>
        </w:tc>
      </w:tr>
      <w:tr w:rsidR="00303B1C" w:rsidRPr="00303B1C" w:rsidTr="00AF6C8C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:rsidR="00303B1C" w:rsidRPr="00954430" w:rsidRDefault="00303B1C" w:rsidP="008E06E2">
            <w:r w:rsidRPr="00954430">
              <w:rPr>
                <w:b/>
              </w:rPr>
              <w:t>Job Purpose</w:t>
            </w:r>
          </w:p>
        </w:tc>
      </w:tr>
      <w:tr w:rsidR="00303B1C" w:rsidRPr="00303B1C" w:rsidTr="00AF6C8C">
        <w:tblPrEx>
          <w:tblLook w:val="0000" w:firstRow="0" w:lastRow="0" w:firstColumn="0" w:lastColumn="0" w:noHBand="0" w:noVBand="0"/>
        </w:tblPrEx>
        <w:trPr>
          <w:trHeight w:val="2829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8E06E2">
            <w:pPr>
              <w:ind w:left="108"/>
            </w:pPr>
          </w:p>
          <w:p w:rsidR="00500F09" w:rsidRPr="00500F09" w:rsidRDefault="00E27D3C" w:rsidP="00500F09">
            <w:pPr>
              <w:numPr>
                <w:ilvl w:val="0"/>
                <w:numId w:val="19"/>
              </w:numPr>
              <w:tabs>
                <w:tab w:val="left" w:pos="709"/>
              </w:tabs>
              <w:spacing w:after="120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szCs w:val="22"/>
              </w:rPr>
              <w:t>As a member of the Senior Leadership Team</w:t>
            </w:r>
            <w:r w:rsidR="00AF6C8C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contribute to the formulation of the OPDC</w:t>
            </w:r>
            <w:r w:rsidR="00C96F30">
              <w:rPr>
                <w:rFonts w:cs="Arial"/>
                <w:szCs w:val="22"/>
              </w:rPr>
              <w:t>’s</w:t>
            </w:r>
            <w:r w:rsidR="00500F0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corporate strategy</w:t>
            </w:r>
            <w:r w:rsidR="00C96F30">
              <w:rPr>
                <w:rFonts w:cs="Arial"/>
                <w:szCs w:val="22"/>
              </w:rPr>
              <w:t xml:space="preserve"> and business planning</w:t>
            </w:r>
            <w:r>
              <w:rPr>
                <w:rFonts w:cs="Arial"/>
                <w:szCs w:val="22"/>
              </w:rPr>
              <w:t xml:space="preserve">, providing strategic direction and strong, visible leadership to the </w:t>
            </w:r>
            <w:r w:rsidR="00FC1271">
              <w:rPr>
                <w:rFonts w:cs="Arial"/>
                <w:szCs w:val="22"/>
              </w:rPr>
              <w:t xml:space="preserve">Corporate Operations </w:t>
            </w:r>
            <w:r>
              <w:rPr>
                <w:rFonts w:cs="Arial"/>
                <w:szCs w:val="22"/>
              </w:rPr>
              <w:t>Directorate</w:t>
            </w:r>
            <w:r>
              <w:rPr>
                <w:rFonts w:cs="Arial"/>
                <w:color w:val="000000"/>
                <w:szCs w:val="22"/>
              </w:rPr>
              <w:t xml:space="preserve">. </w:t>
            </w:r>
          </w:p>
          <w:p w:rsidR="008A1264" w:rsidRPr="008A1264" w:rsidRDefault="008A1264" w:rsidP="00E27D3C">
            <w:pPr>
              <w:pStyle w:val="ListParagraph"/>
              <w:numPr>
                <w:ilvl w:val="0"/>
                <w:numId w:val="19"/>
              </w:numPr>
              <w:ind w:right="-16"/>
            </w:pPr>
            <w:r w:rsidRPr="008A1264">
              <w:t xml:space="preserve">To deputise for the Chief Executive Officer </w:t>
            </w:r>
            <w:r w:rsidR="00C96F30">
              <w:t>and represent OPDC with relevant stakeholders, boards, meetings and events</w:t>
            </w:r>
            <w:r w:rsidR="00AF6C8C">
              <w:t>.</w:t>
            </w:r>
          </w:p>
          <w:p w:rsidR="008A1264" w:rsidRPr="008A1264" w:rsidRDefault="008A1264" w:rsidP="00757F5E">
            <w:pPr>
              <w:ind w:left="1440" w:right="-16"/>
            </w:pPr>
          </w:p>
          <w:p w:rsidR="008A1264" w:rsidRDefault="008A1264" w:rsidP="00E27D3C">
            <w:pPr>
              <w:pStyle w:val="ListParagraph"/>
              <w:numPr>
                <w:ilvl w:val="0"/>
                <w:numId w:val="19"/>
              </w:numPr>
              <w:ind w:right="-16"/>
            </w:pPr>
            <w:r w:rsidRPr="008A1264">
              <w:t xml:space="preserve">To </w:t>
            </w:r>
            <w:r w:rsidR="00500F09">
              <w:t>ensure that OPDC has effective and efficient business management systems and operates to the highest standards of governance and financial and business reporting.</w:t>
            </w:r>
          </w:p>
          <w:p w:rsidR="00500F09" w:rsidRDefault="00500F09" w:rsidP="00500F09">
            <w:pPr>
              <w:pStyle w:val="ListParagraph"/>
            </w:pPr>
          </w:p>
          <w:p w:rsidR="00500F09" w:rsidRPr="008A1264" w:rsidRDefault="00500F09" w:rsidP="00E27D3C">
            <w:pPr>
              <w:pStyle w:val="ListParagraph"/>
              <w:numPr>
                <w:ilvl w:val="0"/>
                <w:numId w:val="19"/>
              </w:numPr>
              <w:ind w:right="-16"/>
            </w:pPr>
            <w:r>
              <w:t>To ensure that OPDC supports, directs and motivates its staff to the highest standards.</w:t>
            </w:r>
          </w:p>
          <w:p w:rsidR="008A1264" w:rsidRPr="008A1264" w:rsidRDefault="008A1264" w:rsidP="00757F5E">
            <w:pPr>
              <w:ind w:left="720" w:right="-16"/>
            </w:pPr>
          </w:p>
          <w:p w:rsidR="008A1264" w:rsidRPr="008A1264" w:rsidRDefault="00541B0F" w:rsidP="0055694C">
            <w:pPr>
              <w:pStyle w:val="ListParagraph"/>
              <w:numPr>
                <w:ilvl w:val="0"/>
                <w:numId w:val="19"/>
              </w:numPr>
              <w:ind w:right="-16"/>
            </w:pPr>
            <w:r w:rsidRPr="00FC1271">
              <w:t>To</w:t>
            </w:r>
            <w:r w:rsidR="00E27D3C" w:rsidRPr="00FC1271">
              <w:t xml:space="preserve"> </w:t>
            </w:r>
            <w:r w:rsidR="00500F09">
              <w:t>support and manage the interface between OPDC’s executive, the OPDC board and the GLA</w:t>
            </w:r>
            <w:r w:rsidR="00E27D3C" w:rsidRPr="00FC1271">
              <w:t xml:space="preserve"> </w:t>
            </w:r>
            <w:r w:rsidR="00500F09">
              <w:t>as sponsor body.</w:t>
            </w:r>
          </w:p>
          <w:p w:rsidR="00303B1C" w:rsidRPr="00303B1C" w:rsidRDefault="00303B1C" w:rsidP="008E06E2">
            <w:pPr>
              <w:ind w:left="108"/>
            </w:pPr>
            <w:r w:rsidRPr="00303B1C">
              <w:t xml:space="preserve"> </w:t>
            </w:r>
          </w:p>
        </w:tc>
      </w:tr>
      <w:tr w:rsidR="00303B1C" w:rsidRPr="00303B1C" w:rsidTr="00AF6C8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8E06E2">
            <w:r w:rsidRPr="00303B1C">
              <w:t xml:space="preserve">   </w:t>
            </w:r>
            <w:r w:rsidRPr="00303B1C">
              <w:rPr>
                <w:b/>
              </w:rPr>
              <w:t>Principal accountabilities</w:t>
            </w:r>
          </w:p>
        </w:tc>
      </w:tr>
      <w:tr w:rsidR="00B85129" w:rsidRPr="00303B1C" w:rsidTr="00AF6C8C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85129" w:rsidRDefault="00B85129" w:rsidP="008E06E2"/>
          <w:p w:rsidR="00AF6C8C" w:rsidRDefault="00B85129" w:rsidP="00AF6C8C">
            <w:pPr>
              <w:numPr>
                <w:ilvl w:val="0"/>
                <w:numId w:val="17"/>
              </w:numPr>
            </w:pPr>
            <w:r w:rsidRPr="00B85129">
              <w:t>Deput</w:t>
            </w:r>
            <w:r w:rsidR="004B7B05">
              <w:t>ise for</w:t>
            </w:r>
            <w:r w:rsidRPr="00B85129">
              <w:t xml:space="preserve"> the Chief Executive Officer </w:t>
            </w:r>
            <w:r w:rsidR="004B7B05">
              <w:t xml:space="preserve">in </w:t>
            </w:r>
            <w:r w:rsidRPr="00B85129">
              <w:t>all operational, financial, risk mitigation</w:t>
            </w:r>
            <w:r w:rsidR="00086895">
              <w:t>, commercial</w:t>
            </w:r>
            <w:r w:rsidR="001E6664">
              <w:t>,</w:t>
            </w:r>
            <w:r w:rsidRPr="00B85129">
              <w:t xml:space="preserve"> and strategic matters. </w:t>
            </w:r>
          </w:p>
          <w:p w:rsidR="00954430" w:rsidRDefault="00954430" w:rsidP="00954430"/>
          <w:p w:rsidR="00B85129" w:rsidRPr="00B85129" w:rsidRDefault="00F61EA8" w:rsidP="00500F09">
            <w:pPr>
              <w:numPr>
                <w:ilvl w:val="0"/>
                <w:numId w:val="17"/>
              </w:numPr>
            </w:pPr>
            <w:r>
              <w:t xml:space="preserve">Oversight and leadership of </w:t>
            </w:r>
            <w:r w:rsidR="00853B9E" w:rsidRPr="00C776C3">
              <w:t xml:space="preserve">the </w:t>
            </w:r>
            <w:r>
              <w:t xml:space="preserve">People, </w:t>
            </w:r>
            <w:r w:rsidR="00BD2510">
              <w:t>Finance</w:t>
            </w:r>
            <w:r w:rsidR="00853B9E">
              <w:t xml:space="preserve">, </w:t>
            </w:r>
            <w:r>
              <w:t>and Operations function</w:t>
            </w:r>
            <w:r w:rsidR="00500F09">
              <w:t>s</w:t>
            </w:r>
            <w:r>
              <w:t xml:space="preserve">. </w:t>
            </w:r>
            <w:r w:rsidR="00BD2510">
              <w:t xml:space="preserve"> </w:t>
            </w:r>
            <w:r w:rsidR="00853B9E">
              <w:t xml:space="preserve"> </w:t>
            </w:r>
          </w:p>
          <w:p w:rsidR="00966E18" w:rsidRDefault="00966E18" w:rsidP="0055694C">
            <w:pPr>
              <w:rPr>
                <w:lang w:val="en-US"/>
              </w:rPr>
            </w:pPr>
          </w:p>
          <w:p w:rsidR="00500F09" w:rsidRDefault="007F7BA2" w:rsidP="00966E18">
            <w:pPr>
              <w:numPr>
                <w:ilvl w:val="0"/>
                <w:numId w:val="17"/>
              </w:numPr>
            </w:pPr>
            <w:r>
              <w:t xml:space="preserve">To provide leadership, and support the Chief Executive Officer, and </w:t>
            </w:r>
            <w:r w:rsidR="00F40343">
              <w:t>Senior Management Team</w:t>
            </w:r>
            <w:r>
              <w:t xml:space="preserve"> with developing, and implementing the </w:t>
            </w:r>
            <w:r w:rsidR="00B85129" w:rsidRPr="00B85129">
              <w:t xml:space="preserve">Corporation's </w:t>
            </w:r>
            <w:r w:rsidR="00500F09">
              <w:t>strategic plan and business plan.</w:t>
            </w:r>
          </w:p>
          <w:p w:rsidR="00500F09" w:rsidRDefault="00500F09" w:rsidP="00500F09">
            <w:pPr>
              <w:pStyle w:val="ListParagraph"/>
            </w:pPr>
          </w:p>
          <w:p w:rsidR="00B85129" w:rsidRDefault="00500F09" w:rsidP="00966E18">
            <w:pPr>
              <w:numPr>
                <w:ilvl w:val="0"/>
                <w:numId w:val="17"/>
              </w:numPr>
            </w:pPr>
            <w:r>
              <w:t xml:space="preserve">Ensure that the Corporation’s financial and business reporting systems are fully fit for purpose and </w:t>
            </w:r>
            <w:r w:rsidR="00B85129" w:rsidRPr="00B85129">
              <w:t xml:space="preserve">implement appropriate performance </w:t>
            </w:r>
            <w:r>
              <w:t xml:space="preserve">and risk </w:t>
            </w:r>
            <w:r w:rsidR="00B85129" w:rsidRPr="00B85129">
              <w:t xml:space="preserve">management practices. </w:t>
            </w:r>
          </w:p>
          <w:p w:rsidR="004B7B05" w:rsidRDefault="004B7B05" w:rsidP="004B7B05">
            <w:pPr>
              <w:pStyle w:val="ListParagraph"/>
            </w:pPr>
          </w:p>
          <w:p w:rsidR="004B7B05" w:rsidRDefault="004B7B05" w:rsidP="00966E18">
            <w:pPr>
              <w:numPr>
                <w:ilvl w:val="0"/>
                <w:numId w:val="17"/>
              </w:numPr>
            </w:pPr>
            <w:r>
              <w:t>Working with the Corporation’s Chief Finance Officer and Chief Executive</w:t>
            </w:r>
            <w:r w:rsidR="007F7BA2">
              <w:t xml:space="preserve"> Officer</w:t>
            </w:r>
            <w:r>
              <w:t xml:space="preserve">, prepare financial plans and budgets and ensure that budget monitoring and reporting </w:t>
            </w:r>
            <w:r w:rsidR="00AF6C8C">
              <w:t xml:space="preserve">to the senior executive team, the OPDC board and the GLA </w:t>
            </w:r>
            <w:r>
              <w:t>is maintained to the highest standards.</w:t>
            </w:r>
          </w:p>
          <w:p w:rsidR="004B7B05" w:rsidRDefault="004B7B05" w:rsidP="004B7B05">
            <w:pPr>
              <w:pStyle w:val="ListParagraph"/>
            </w:pPr>
          </w:p>
          <w:p w:rsidR="00AF6C8C" w:rsidRDefault="004B7B05" w:rsidP="00BB031A">
            <w:pPr>
              <w:numPr>
                <w:ilvl w:val="0"/>
                <w:numId w:val="17"/>
              </w:numPr>
            </w:pPr>
            <w:r>
              <w:t>Take responsibility for securing</w:t>
            </w:r>
            <w:r w:rsidRPr="00B85129">
              <w:t xml:space="preserve"> </w:t>
            </w:r>
            <w:r>
              <w:t xml:space="preserve">OPDC’s </w:t>
            </w:r>
            <w:r w:rsidRPr="00B85129">
              <w:t xml:space="preserve">annual </w:t>
            </w:r>
            <w:r>
              <w:t xml:space="preserve">financial </w:t>
            </w:r>
            <w:r w:rsidRPr="00B85129">
              <w:t>settlement from the GLA</w:t>
            </w:r>
            <w:r>
              <w:t xml:space="preserve"> and work with government and other public and private sector organisations as appropriate to maximise funding opportunities to support the Corporation’s ambitions</w:t>
            </w:r>
            <w:r w:rsidRPr="00B85129">
              <w:t>.</w:t>
            </w:r>
          </w:p>
          <w:p w:rsidR="00B85129" w:rsidRPr="00B85129" w:rsidRDefault="00B85129" w:rsidP="004B7B05"/>
          <w:p w:rsidR="00FC1271" w:rsidRDefault="004B7B05" w:rsidP="004B7B05">
            <w:pPr>
              <w:numPr>
                <w:ilvl w:val="0"/>
                <w:numId w:val="17"/>
              </w:numPr>
            </w:pPr>
            <w:r>
              <w:lastRenderedPageBreak/>
              <w:t>Take lead responsibility for</w:t>
            </w:r>
            <w:r w:rsidR="00B85129" w:rsidRPr="00B85129">
              <w:t xml:space="preserve"> corporate</w:t>
            </w:r>
            <w:r>
              <w:t xml:space="preserve"> shared</w:t>
            </w:r>
            <w:r w:rsidR="00B85129" w:rsidRPr="00B85129">
              <w:t xml:space="preserve"> services provided by the wider GLA group, these include (but are not limited to)</w:t>
            </w:r>
            <w:r w:rsidR="00B85129" w:rsidRPr="00954430">
              <w:t>,</w:t>
            </w:r>
            <w:r w:rsidR="00B85129" w:rsidRPr="00B85129">
              <w:t xml:space="preserve"> Finance, Marketing, Procurement, Legal, ICT, FM and Audit, ensuring that the services deliver a high quality service to the OPDC.</w:t>
            </w:r>
          </w:p>
          <w:p w:rsidR="00F61EA8" w:rsidRPr="00B85129" w:rsidRDefault="00F61EA8" w:rsidP="00B85129">
            <w:pPr>
              <w:ind w:left="720"/>
            </w:pPr>
          </w:p>
          <w:p w:rsidR="00966E18" w:rsidRDefault="004B7B05" w:rsidP="004B7B05">
            <w:pPr>
              <w:numPr>
                <w:ilvl w:val="0"/>
                <w:numId w:val="17"/>
              </w:numPr>
            </w:pPr>
            <w:r>
              <w:t>W</w:t>
            </w:r>
            <w:r w:rsidR="00B85129" w:rsidRPr="00B85129">
              <w:t xml:space="preserve">ork collaboratively with the </w:t>
            </w:r>
            <w:r w:rsidR="00F40343">
              <w:t>Senior Management Team</w:t>
            </w:r>
            <w:r w:rsidR="00B85129" w:rsidRPr="00B85129">
              <w:t xml:space="preserve"> to support </w:t>
            </w:r>
            <w:r>
              <w:t xml:space="preserve">the </w:t>
            </w:r>
            <w:r w:rsidR="00B85129" w:rsidRPr="00B85129">
              <w:t xml:space="preserve">delivery of the Mayor’s vision for Old Oak and Park Royal, identifying opportunities to streamline operations, share services and support </w:t>
            </w:r>
            <w:r w:rsidR="00086895">
              <w:t xml:space="preserve">members of the Senior Management </w:t>
            </w:r>
            <w:r w:rsidR="00B85129" w:rsidRPr="00B85129">
              <w:t xml:space="preserve">in </w:t>
            </w:r>
            <w:r>
              <w:t xml:space="preserve">the </w:t>
            </w:r>
            <w:r w:rsidR="00B85129" w:rsidRPr="00B85129">
              <w:t>delivery of their operations.</w:t>
            </w:r>
          </w:p>
          <w:p w:rsidR="004B7B05" w:rsidRDefault="004B7B05" w:rsidP="004B7B05">
            <w:pPr>
              <w:pStyle w:val="ListParagraph"/>
            </w:pPr>
          </w:p>
          <w:p w:rsidR="004B7B05" w:rsidRDefault="00DE2C2D" w:rsidP="004B7B05">
            <w:pPr>
              <w:numPr>
                <w:ilvl w:val="0"/>
                <w:numId w:val="17"/>
              </w:numPr>
            </w:pPr>
            <w:r>
              <w:t xml:space="preserve">Oversight of </w:t>
            </w:r>
            <w:r w:rsidR="004B7B05">
              <w:t>the OPDC board, its sub-committees and the GLA as required</w:t>
            </w:r>
            <w:r w:rsidR="00AF6C8C">
              <w:t xml:space="preserve"> and ensure the efficient and effective organisation of the board’s business</w:t>
            </w:r>
            <w:r w:rsidR="004B7B05">
              <w:t>.</w:t>
            </w:r>
          </w:p>
          <w:p w:rsidR="00AF6C8C" w:rsidRDefault="00AF6C8C" w:rsidP="00AF6C8C">
            <w:pPr>
              <w:pStyle w:val="ListParagraph"/>
            </w:pPr>
          </w:p>
          <w:p w:rsidR="00AF6C8C" w:rsidRDefault="00AF6C8C" w:rsidP="004B7B05">
            <w:pPr>
              <w:numPr>
                <w:ilvl w:val="0"/>
                <w:numId w:val="17"/>
              </w:numPr>
            </w:pPr>
            <w:r>
              <w:t>Provide briefings, advice and support to the OPDC’s chair and board members.</w:t>
            </w:r>
          </w:p>
          <w:p w:rsidR="00966E18" w:rsidRDefault="00966E18" w:rsidP="004B7B05"/>
          <w:p w:rsidR="0055694C" w:rsidRDefault="0055694C" w:rsidP="0055694C">
            <w:pPr>
              <w:ind w:left="720" w:hanging="720"/>
            </w:pPr>
            <w:r>
              <w:t xml:space="preserve">       11. Protect the Corporation</w:t>
            </w:r>
            <w:r w:rsidR="00AF6C8C">
              <w:t xml:space="preserve"> and the Mayor’s</w:t>
            </w:r>
            <w:r>
              <w:t xml:space="preserve"> reputation at all times through the operation of a </w:t>
            </w:r>
            <w:r w:rsidR="004B7B05">
              <w:t>robust</w:t>
            </w:r>
            <w:r>
              <w:t xml:space="preserve"> corporate governance regime</w:t>
            </w:r>
            <w:r w:rsidR="00AF6C8C">
              <w:t xml:space="preserve"> and the highest standards of professional integrity</w:t>
            </w:r>
            <w:r>
              <w:t>.</w:t>
            </w:r>
          </w:p>
          <w:p w:rsidR="0055694C" w:rsidRDefault="0055694C" w:rsidP="0055694C">
            <w:pPr>
              <w:pStyle w:val="ListParagraph"/>
            </w:pPr>
          </w:p>
          <w:p w:rsidR="00B85129" w:rsidRPr="00B85129" w:rsidRDefault="00B85129" w:rsidP="0055694C">
            <w:pPr>
              <w:pStyle w:val="ListParagraph"/>
              <w:numPr>
                <w:ilvl w:val="0"/>
                <w:numId w:val="27"/>
              </w:numPr>
            </w:pPr>
            <w:r w:rsidRPr="00B85129">
              <w:t xml:space="preserve">Provide visible leadership to staff across the organisation and work with the </w:t>
            </w:r>
            <w:r w:rsidR="00F40343">
              <w:t>Senior Management Team</w:t>
            </w:r>
            <w:r w:rsidRPr="00B85129">
              <w:t xml:space="preserve"> to develop a culture which motivates and supports staff to deliver the organisation’s objectives. </w:t>
            </w:r>
          </w:p>
          <w:p w:rsidR="00B85129" w:rsidRPr="00B85129" w:rsidRDefault="00B85129" w:rsidP="00B85129">
            <w:pPr>
              <w:ind w:left="720"/>
            </w:pPr>
          </w:p>
          <w:p w:rsidR="00B85129" w:rsidRPr="00B85129" w:rsidRDefault="00B85129" w:rsidP="0055694C">
            <w:pPr>
              <w:numPr>
                <w:ilvl w:val="0"/>
                <w:numId w:val="27"/>
              </w:numPr>
            </w:pPr>
            <w:r w:rsidRPr="00B85129">
              <w:t xml:space="preserve">Establish and manage relationships with the Mayor’s office, London Assembly </w:t>
            </w:r>
            <w:r w:rsidR="00757F5E" w:rsidRPr="00B85129">
              <w:t>and GLA</w:t>
            </w:r>
            <w:r w:rsidRPr="00B85129">
              <w:t xml:space="preserve"> Group bodies to effectively deliver the Mayor’s vision and OPDC strategy for Old Oak Common and Park Royal.</w:t>
            </w:r>
          </w:p>
          <w:p w:rsidR="00B85129" w:rsidRPr="00B85129" w:rsidRDefault="00B85129" w:rsidP="00B85129">
            <w:pPr>
              <w:ind w:left="720"/>
            </w:pPr>
          </w:p>
          <w:p w:rsidR="00B85129" w:rsidRDefault="00B85129" w:rsidP="0055694C">
            <w:pPr>
              <w:numPr>
                <w:ilvl w:val="0"/>
                <w:numId w:val="27"/>
              </w:numPr>
            </w:pPr>
            <w:r w:rsidRPr="00B85129">
              <w:t>Support and advise the C</w:t>
            </w:r>
            <w:r w:rsidR="007F7BA2">
              <w:t xml:space="preserve">hief </w:t>
            </w:r>
            <w:r w:rsidRPr="00B85129">
              <w:t>E</w:t>
            </w:r>
            <w:r w:rsidR="007F7BA2">
              <w:t xml:space="preserve">xecutive </w:t>
            </w:r>
            <w:r w:rsidRPr="00B85129">
              <w:t>O</w:t>
            </w:r>
            <w:r w:rsidR="007F7BA2">
              <w:t>fficer</w:t>
            </w:r>
            <w:r w:rsidRPr="00B85129">
              <w:t xml:space="preserve"> in decision making.</w:t>
            </w:r>
          </w:p>
          <w:p w:rsidR="003B5232" w:rsidRDefault="003B5232" w:rsidP="003B5232">
            <w:pPr>
              <w:pStyle w:val="ListParagraph"/>
            </w:pPr>
          </w:p>
          <w:p w:rsidR="007F7BA2" w:rsidRDefault="004B7B05" w:rsidP="00ED2E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>
              <w:t>P</w:t>
            </w:r>
            <w:r w:rsidR="00866C3D">
              <w:t xml:space="preserve">romote an inclusive culture that realises the benefits of London’s diversity by </w:t>
            </w:r>
            <w:r>
              <w:t>championing</w:t>
            </w:r>
            <w:r w:rsidR="00866C3D">
              <w:t xml:space="preserve"> and enabling equality of </w:t>
            </w:r>
            <w:r w:rsidR="00866C3D" w:rsidRPr="00866C3D">
              <w:rPr>
                <w:rFonts w:cs="Arial"/>
                <w:szCs w:val="22"/>
              </w:rPr>
              <w:t xml:space="preserve">opportunities </w:t>
            </w:r>
            <w:r>
              <w:rPr>
                <w:rFonts w:cs="Arial"/>
                <w:szCs w:val="22"/>
              </w:rPr>
              <w:t xml:space="preserve">that fully reflect the </w:t>
            </w:r>
            <w:r w:rsidR="00866C3D" w:rsidRPr="00866C3D">
              <w:rPr>
                <w:rFonts w:cs="Arial"/>
                <w:szCs w:val="22"/>
              </w:rPr>
              <w:t>diverse n</w:t>
            </w:r>
            <w:r>
              <w:rPr>
                <w:rFonts w:cs="Arial"/>
                <w:szCs w:val="22"/>
              </w:rPr>
              <w:t>ature</w:t>
            </w:r>
            <w:r w:rsidR="00866C3D" w:rsidRPr="00866C3D">
              <w:rPr>
                <w:rFonts w:cs="Arial"/>
                <w:szCs w:val="22"/>
              </w:rPr>
              <w:t xml:space="preserve"> and aspirations of London’s communities</w:t>
            </w:r>
            <w:r w:rsidR="00086895">
              <w:rPr>
                <w:rFonts w:cs="Arial"/>
                <w:szCs w:val="22"/>
              </w:rPr>
              <w:t>.</w:t>
            </w:r>
          </w:p>
          <w:p w:rsidR="00ED2E61" w:rsidRPr="00ED2E61" w:rsidRDefault="00ED2E61" w:rsidP="00ED2E61">
            <w:pPr>
              <w:pStyle w:val="ListParagraph"/>
              <w:rPr>
                <w:rFonts w:cs="Arial"/>
                <w:szCs w:val="22"/>
              </w:rPr>
            </w:pPr>
          </w:p>
          <w:p w:rsidR="00ED2E61" w:rsidRDefault="00ED2E61" w:rsidP="00ED2E6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  <w:p w:rsidR="00A06C9C" w:rsidRPr="00ED2E61" w:rsidRDefault="00A06C9C" w:rsidP="00ED2E6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  <w:tr w:rsidR="008A1264" w:rsidRPr="00303B1C" w:rsidTr="00AF6C8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8" w:type="dxa"/>
            <w:vAlign w:val="center"/>
          </w:tcPr>
          <w:p w:rsidR="008A1264" w:rsidRPr="008A1264" w:rsidRDefault="008A1264" w:rsidP="008E06E2">
            <w:pPr>
              <w:rPr>
                <w:b/>
              </w:rPr>
            </w:pPr>
            <w:r w:rsidRPr="00303B1C">
              <w:rPr>
                <w:b/>
              </w:rPr>
              <w:lastRenderedPageBreak/>
              <w:t>Key contacts:</w:t>
            </w:r>
          </w:p>
        </w:tc>
        <w:tc>
          <w:tcPr>
            <w:tcW w:w="7161" w:type="dxa"/>
            <w:gridSpan w:val="4"/>
            <w:vAlign w:val="center"/>
          </w:tcPr>
          <w:p w:rsidR="008A1264" w:rsidRPr="00303B1C" w:rsidRDefault="000C5755" w:rsidP="008E06E2">
            <w:r>
              <w:t>OPDC Chair</w:t>
            </w:r>
            <w:r w:rsidR="00FC1271">
              <w:t>,</w:t>
            </w:r>
            <w:r w:rsidR="00C167FC">
              <w:t xml:space="preserve"> The Board,</w:t>
            </w:r>
            <w:r w:rsidR="00FC1271">
              <w:t xml:space="preserve"> Appointments and Remuneration Committee</w:t>
            </w:r>
            <w:r>
              <w:t xml:space="preserve"> and Audit Committee, </w:t>
            </w:r>
            <w:r w:rsidR="008A1264" w:rsidRPr="00511B74">
              <w:t>Mayoral Adviser</w:t>
            </w:r>
            <w:r w:rsidR="00AF6C8C">
              <w:t>s/Deputy Mayors</w:t>
            </w:r>
            <w:r w:rsidR="008A1264" w:rsidRPr="00511B74">
              <w:t>, Assembly Members, Senior GLA Officer</w:t>
            </w:r>
            <w:r w:rsidR="00C167FC">
              <w:t>s</w:t>
            </w:r>
            <w:r w:rsidR="008A1264" w:rsidRPr="00511B74">
              <w:t>, Government Officials, Investment Partners.</w:t>
            </w:r>
            <w:r w:rsidR="008A1264" w:rsidRPr="00303B1C">
              <w:t xml:space="preserve"> </w:t>
            </w:r>
          </w:p>
        </w:tc>
      </w:tr>
      <w:tr w:rsidR="00303B1C" w:rsidRPr="00303B1C" w:rsidTr="00A06C9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303B1C" w:rsidRPr="008A1264" w:rsidRDefault="00303B1C" w:rsidP="008E06E2">
            <w:pPr>
              <w:rPr>
                <w:b/>
              </w:rPr>
            </w:pPr>
            <w:r w:rsidRPr="00303B1C">
              <w:rPr>
                <w:b/>
              </w:rPr>
              <w:t>Accountable to:</w:t>
            </w:r>
          </w:p>
        </w:tc>
        <w:tc>
          <w:tcPr>
            <w:tcW w:w="7161" w:type="dxa"/>
            <w:gridSpan w:val="4"/>
            <w:tcBorders>
              <w:bottom w:val="single" w:sz="4" w:space="0" w:color="auto"/>
            </w:tcBorders>
            <w:vAlign w:val="center"/>
          </w:tcPr>
          <w:p w:rsidR="00303B1C" w:rsidRPr="008A1264" w:rsidRDefault="008A1264" w:rsidP="008E06E2">
            <w:r w:rsidRPr="008A1264">
              <w:t xml:space="preserve">Chief Executive Officer  </w:t>
            </w:r>
          </w:p>
        </w:tc>
      </w:tr>
      <w:tr w:rsidR="00303B1C" w:rsidRPr="00303B1C" w:rsidTr="00A06C9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303B1C" w:rsidRPr="00A06C9C" w:rsidRDefault="00303B1C" w:rsidP="008E06E2">
            <w:r w:rsidRPr="00A06C9C">
              <w:rPr>
                <w:b/>
              </w:rPr>
              <w:t>Accountable for:</w:t>
            </w:r>
          </w:p>
        </w:tc>
        <w:tc>
          <w:tcPr>
            <w:tcW w:w="7161" w:type="dxa"/>
            <w:gridSpan w:val="4"/>
            <w:tcBorders>
              <w:bottom w:val="single" w:sz="4" w:space="0" w:color="auto"/>
            </w:tcBorders>
            <w:vAlign w:val="center"/>
          </w:tcPr>
          <w:p w:rsidR="00303B1C" w:rsidRPr="00A06C9C" w:rsidRDefault="008A1264" w:rsidP="008E06E2">
            <w:r w:rsidRPr="00A06C9C">
              <w:t>Staff and resources of the OPDC.</w:t>
            </w:r>
          </w:p>
        </w:tc>
      </w:tr>
      <w:tr w:rsidR="00A06C9C" w:rsidRPr="00303B1C" w:rsidTr="00A06C9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Default="00A06C9C" w:rsidP="008E06E2">
            <w:pPr>
              <w:rPr>
                <w:b/>
              </w:rPr>
            </w:pPr>
          </w:p>
          <w:p w:rsidR="00A06C9C" w:rsidRPr="00303B1C" w:rsidRDefault="00A06C9C" w:rsidP="008E06E2">
            <w:pPr>
              <w:rPr>
                <w:b/>
              </w:rPr>
            </w:pP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6C9C" w:rsidRPr="008A1264" w:rsidRDefault="00A06C9C" w:rsidP="008E06E2">
            <w:bookmarkStart w:id="0" w:name="_GoBack"/>
            <w:bookmarkEnd w:id="0"/>
          </w:p>
        </w:tc>
      </w:tr>
      <w:tr w:rsidR="00303B1C" w:rsidRPr="00303B1C" w:rsidTr="00A06C9C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209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3B1C" w:rsidRPr="00303B1C" w:rsidRDefault="00303B1C" w:rsidP="00A06C9C">
            <w:pPr>
              <w:keepLines/>
              <w:widowControl w:val="0"/>
              <w:ind w:left="108"/>
              <w:rPr>
                <w:rFonts w:cs="Arial"/>
                <w:b/>
                <w:color w:val="000000" w:themeColor="text1"/>
                <w:u w:val="single"/>
              </w:rPr>
            </w:pPr>
            <w:r w:rsidRPr="00303B1C">
              <w:rPr>
                <w:rFonts w:cs="Arial"/>
                <w:b/>
                <w:color w:val="000000" w:themeColor="text1"/>
              </w:rPr>
              <w:lastRenderedPageBreak/>
              <w:t>Technical Requirements</w:t>
            </w:r>
          </w:p>
        </w:tc>
      </w:tr>
      <w:tr w:rsidR="00303B1C" w:rsidRPr="00303B1C" w:rsidTr="00AF6C8C">
        <w:tblPrEx>
          <w:tblLook w:val="0000" w:firstRow="0" w:lastRow="0" w:firstColumn="0" w:lastColumn="0" w:noHBand="0" w:noVBand="0"/>
        </w:tblPrEx>
        <w:trPr>
          <w:trHeight w:val="3998"/>
        </w:trPr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:rsidR="008A1264" w:rsidRPr="00511B74" w:rsidRDefault="008A1264" w:rsidP="00A06C9C">
            <w:pPr>
              <w:keepLines/>
              <w:widowControl w:val="0"/>
              <w:ind w:right="-1185"/>
            </w:pPr>
          </w:p>
          <w:p w:rsidR="00B85129" w:rsidRDefault="008A1264" w:rsidP="002C3FAB">
            <w:pPr>
              <w:numPr>
                <w:ilvl w:val="0"/>
                <w:numId w:val="7"/>
              </w:numPr>
              <w:ind w:right="-399"/>
            </w:pPr>
            <w:r w:rsidRPr="00511B74">
              <w:t xml:space="preserve">Excellent record of achievement operating at senior executive level within a relevant or comparable role and </w:t>
            </w:r>
            <w:r w:rsidR="00AF6C8C">
              <w:t xml:space="preserve">clear </w:t>
            </w:r>
            <w:r w:rsidRPr="00511B74">
              <w:t xml:space="preserve">understanding of the scrutiny and visibility </w:t>
            </w:r>
            <w:r w:rsidR="00AF6C8C">
              <w:t>involved in</w:t>
            </w:r>
            <w:r w:rsidRPr="00511B74">
              <w:t xml:space="preserve"> </w:t>
            </w:r>
          </w:p>
          <w:p w:rsidR="008A1264" w:rsidRPr="00511B74" w:rsidRDefault="008A1264" w:rsidP="00B85129">
            <w:pPr>
              <w:ind w:left="720" w:right="-399"/>
            </w:pPr>
            <w:r w:rsidRPr="00511B74">
              <w:t xml:space="preserve">leading a high profile </w:t>
            </w:r>
            <w:r w:rsidR="00AF6C8C">
              <w:t xml:space="preserve">public sector </w:t>
            </w:r>
            <w:r w:rsidRPr="00511B74">
              <w:t>organisation.</w:t>
            </w:r>
          </w:p>
          <w:p w:rsidR="008A1264" w:rsidRPr="00511B74" w:rsidRDefault="008A1264" w:rsidP="008E06E2">
            <w:pPr>
              <w:ind w:left="720" w:right="-399"/>
            </w:pPr>
          </w:p>
          <w:p w:rsidR="008A1264" w:rsidRPr="00511B74" w:rsidRDefault="00AF6C8C" w:rsidP="002C3FAB">
            <w:pPr>
              <w:numPr>
                <w:ilvl w:val="0"/>
                <w:numId w:val="7"/>
              </w:numPr>
              <w:ind w:right="-115"/>
            </w:pPr>
            <w:r>
              <w:t>A</w:t>
            </w:r>
            <w:r w:rsidR="008A1264" w:rsidRPr="00511B74">
              <w:t xml:space="preserve"> level of credibility and business acumen to engender </w:t>
            </w:r>
            <w:r>
              <w:t xml:space="preserve">senior level </w:t>
            </w:r>
            <w:r w:rsidR="008A1264" w:rsidRPr="00511B74">
              <w:t xml:space="preserve">trust and confidence and to successfully influence a complex and diverse </w:t>
            </w:r>
            <w:r>
              <w:t xml:space="preserve">range of </w:t>
            </w:r>
            <w:r w:rsidR="008A1264" w:rsidRPr="00511B74">
              <w:t>stakeholder</w:t>
            </w:r>
            <w:r>
              <w:t>s.</w:t>
            </w:r>
          </w:p>
          <w:p w:rsidR="008A1264" w:rsidRPr="00511B74" w:rsidRDefault="008A1264" w:rsidP="008E06E2">
            <w:pPr>
              <w:ind w:left="720" w:right="-115"/>
            </w:pPr>
          </w:p>
          <w:p w:rsidR="00303B1C" w:rsidRPr="0055694C" w:rsidRDefault="00AF6C8C" w:rsidP="002C3FA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color w:val="000000"/>
              </w:rPr>
            </w:pPr>
            <w:r>
              <w:t>Senior level</w:t>
            </w:r>
            <w:r w:rsidR="008A1264" w:rsidRPr="00511B74">
              <w:t xml:space="preserve"> experience of working effectively </w:t>
            </w:r>
            <w:r>
              <w:t>across</w:t>
            </w:r>
            <w:r w:rsidR="008A1264" w:rsidRPr="00511B74">
              <w:t xml:space="preserve"> public/private </w:t>
            </w:r>
            <w:r>
              <w:t>boundaries</w:t>
            </w:r>
            <w:r w:rsidR="008A1264" w:rsidRPr="00511B74">
              <w:t xml:space="preserve">, including managing </w:t>
            </w:r>
            <w:r>
              <w:t xml:space="preserve">complex </w:t>
            </w:r>
            <w:r w:rsidR="008A1264" w:rsidRPr="00511B74">
              <w:t xml:space="preserve">relationships </w:t>
            </w:r>
            <w:r>
              <w:t xml:space="preserve">in a </w:t>
            </w:r>
            <w:r w:rsidR="008A1264" w:rsidRPr="00511B74">
              <w:t>political and partner</w:t>
            </w:r>
            <w:r>
              <w:t>ing</w:t>
            </w:r>
            <w:r w:rsidR="008A1264" w:rsidRPr="00511B74">
              <w:t xml:space="preserve"> </w:t>
            </w:r>
            <w:r>
              <w:t>context.</w:t>
            </w:r>
          </w:p>
          <w:p w:rsidR="0050084C" w:rsidRPr="0055694C" w:rsidRDefault="0050084C" w:rsidP="0055694C">
            <w:pPr>
              <w:pStyle w:val="ListParagraph"/>
              <w:rPr>
                <w:rFonts w:cs="Arial"/>
                <w:color w:val="000000"/>
              </w:rPr>
            </w:pPr>
          </w:p>
          <w:p w:rsidR="0050084C" w:rsidRDefault="00AF6C8C" w:rsidP="002C3FA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Clear evidence of in</w:t>
            </w:r>
            <w:r w:rsidR="0050084C" w:rsidRPr="0055694C">
              <w:t>spirational</w:t>
            </w:r>
            <w:r>
              <w:t>, visionary and visible</w:t>
            </w:r>
            <w:r w:rsidR="0050084C" w:rsidRPr="0055694C">
              <w:t xml:space="preserve"> leader</w:t>
            </w:r>
            <w:r>
              <w:t>ship. A</w:t>
            </w:r>
            <w:r w:rsidR="0050084C" w:rsidRPr="0055694C">
              <w:t>ble to lead by example</w:t>
            </w:r>
            <w:r>
              <w:t>, e</w:t>
            </w:r>
            <w:r w:rsidR="0050084C" w:rsidRPr="0055694C">
              <w:t>mpowering, enabling, motivating and developing others.</w:t>
            </w:r>
          </w:p>
          <w:p w:rsidR="00FC1271" w:rsidRDefault="00FC1271" w:rsidP="0055694C">
            <w:pPr>
              <w:pStyle w:val="ListParagraph"/>
            </w:pPr>
          </w:p>
          <w:p w:rsidR="0050084C" w:rsidRDefault="00AF6C8C" w:rsidP="002C3FAB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Track record of operating as an effective</w:t>
            </w:r>
            <w:r w:rsidR="0050084C" w:rsidRPr="0055694C">
              <w:t xml:space="preserve"> corporate player</w:t>
            </w:r>
            <w:r>
              <w:t>,</w:t>
            </w:r>
            <w:r w:rsidR="0050084C" w:rsidRPr="0055694C">
              <w:t xml:space="preserve"> acting with integrity, professionalism, energy and drive in the best interests of the organisation and in accordance with the agreed strategic direction.</w:t>
            </w:r>
          </w:p>
          <w:p w:rsidR="002C3FAB" w:rsidRDefault="002C3FAB" w:rsidP="0055694C">
            <w:pPr>
              <w:pStyle w:val="ListParagraph"/>
            </w:pPr>
          </w:p>
          <w:p w:rsidR="002C3FAB" w:rsidRDefault="002C3FAB" w:rsidP="002C3F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Experience of leading a function and building an inclusive culture. </w:t>
            </w:r>
          </w:p>
          <w:p w:rsidR="00D0020E" w:rsidRDefault="00D0020E" w:rsidP="00D0020E">
            <w:pPr>
              <w:pStyle w:val="ListParagraph"/>
              <w:rPr>
                <w:rFonts w:cs="Arial"/>
                <w:szCs w:val="22"/>
              </w:rPr>
            </w:pPr>
          </w:p>
          <w:p w:rsidR="00D0020E" w:rsidRDefault="00D0020E" w:rsidP="002C3FA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 appreciation and experience of complex urban and economic regeneration policies, programmes and projects, ideally in a public/private context.</w:t>
            </w:r>
          </w:p>
          <w:p w:rsidR="00A06C9C" w:rsidRPr="00A06C9C" w:rsidRDefault="00A06C9C" w:rsidP="00A06C9C">
            <w:pPr>
              <w:jc w:val="both"/>
              <w:rPr>
                <w:rFonts w:cs="Arial"/>
                <w:color w:val="000000"/>
              </w:rPr>
            </w:pPr>
          </w:p>
          <w:p w:rsidR="00B85129" w:rsidRPr="008E06E2" w:rsidRDefault="00B85129" w:rsidP="0099662A">
            <w:pPr>
              <w:pStyle w:val="ListParagraph"/>
              <w:jc w:val="both"/>
              <w:rPr>
                <w:rFonts w:cs="Arial"/>
                <w:color w:val="000000"/>
              </w:rPr>
            </w:pPr>
          </w:p>
        </w:tc>
      </w:tr>
      <w:tr w:rsidR="00303B1C" w:rsidRPr="00303B1C" w:rsidTr="00AF6C8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209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8E06E2">
            <w:pPr>
              <w:ind w:left="108"/>
              <w:rPr>
                <w:rFonts w:cs="Arial"/>
                <w:color w:val="000000"/>
              </w:rPr>
            </w:pPr>
            <w:r w:rsidRPr="00303B1C">
              <w:rPr>
                <w:rFonts w:cs="Arial"/>
                <w:b/>
                <w:color w:val="000000" w:themeColor="text1"/>
              </w:rPr>
              <w:t>Behavioural Competencies</w:t>
            </w:r>
          </w:p>
        </w:tc>
      </w:tr>
      <w:tr w:rsidR="00303B1C" w:rsidRPr="00303B1C" w:rsidTr="00AF6C8C">
        <w:tblPrEx>
          <w:tblLook w:val="0000" w:firstRow="0" w:lastRow="0" w:firstColumn="0" w:lastColumn="0" w:noHBand="0" w:noVBand="0"/>
        </w:tblPrEx>
        <w:trPr>
          <w:trHeight w:val="3913"/>
        </w:trPr>
        <w:tc>
          <w:tcPr>
            <w:tcW w:w="9209" w:type="dxa"/>
            <w:gridSpan w:val="5"/>
          </w:tcPr>
          <w:p w:rsidR="00C11E74" w:rsidRDefault="00C11E74" w:rsidP="008E06E2">
            <w:pPr>
              <w:keepNext/>
              <w:outlineLvl w:val="0"/>
              <w:rPr>
                <w:b/>
                <w:bCs/>
              </w:rPr>
            </w:pPr>
          </w:p>
          <w:p w:rsidR="008A1264" w:rsidRPr="008A1264" w:rsidRDefault="008A1264" w:rsidP="008E06E2">
            <w:pPr>
              <w:keepNext/>
              <w:outlineLvl w:val="0"/>
              <w:rPr>
                <w:b/>
                <w:bCs/>
              </w:rPr>
            </w:pPr>
            <w:r w:rsidRPr="008A1264">
              <w:rPr>
                <w:b/>
                <w:bCs/>
              </w:rPr>
              <w:t>Building and managing relationships</w:t>
            </w:r>
          </w:p>
          <w:p w:rsidR="008A1264" w:rsidRPr="008A1264" w:rsidRDefault="008A1264" w:rsidP="008E06E2">
            <w:r w:rsidRPr="008A1264">
              <w:t>…is developing rapport and working effectively with a diverse range of people, sharing knowledge and skills to deliver shared goals.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  <w:r w:rsidRPr="008A1264">
              <w:rPr>
                <w:u w:val="single"/>
              </w:rPr>
              <w:t>Level 4 indicators of effective behaviour</w:t>
            </w:r>
          </w:p>
          <w:p w:rsidR="008A1264" w:rsidRPr="008A1264" w:rsidRDefault="008A1264" w:rsidP="008E06E2">
            <w:pPr>
              <w:numPr>
                <w:ilvl w:val="0"/>
                <w:numId w:val="8"/>
              </w:numPr>
            </w:pPr>
            <w:r w:rsidRPr="008A1264">
              <w:t>Identifies and engages a diverse range of influential contacts within stakeholder and community groups, and partner organisations</w:t>
            </w:r>
          </w:p>
          <w:p w:rsidR="008A1264" w:rsidRPr="008A1264" w:rsidRDefault="008A1264" w:rsidP="008E06E2">
            <w:pPr>
              <w:numPr>
                <w:ilvl w:val="0"/>
                <w:numId w:val="8"/>
              </w:numPr>
            </w:pPr>
            <w:r w:rsidRPr="008A1264">
              <w:t>Builds alliances to establish mutually beneficial working arrangements, openly sharing knowledge and insights</w:t>
            </w:r>
          </w:p>
          <w:p w:rsidR="008A1264" w:rsidRPr="008A1264" w:rsidRDefault="008A1264" w:rsidP="008E06E2">
            <w:pPr>
              <w:numPr>
                <w:ilvl w:val="0"/>
                <w:numId w:val="8"/>
              </w:numPr>
            </w:pPr>
            <w:r w:rsidRPr="008A1264">
              <w:t>Actively challenges and addresses ‘silo attitudes’ to encourage effective relationship building inside and outside the OPDC</w:t>
            </w:r>
          </w:p>
          <w:p w:rsidR="008A1264" w:rsidRPr="008A1264" w:rsidRDefault="008A1264" w:rsidP="008E06E2">
            <w:pPr>
              <w:numPr>
                <w:ilvl w:val="0"/>
                <w:numId w:val="8"/>
              </w:numPr>
            </w:pPr>
            <w:r w:rsidRPr="008A1264">
              <w:t>Understands the complexities of political dynamics and uses this to manage relationships and resolve conflict effectively</w:t>
            </w:r>
          </w:p>
          <w:p w:rsidR="008A1264" w:rsidRPr="008A1264" w:rsidRDefault="008A1264" w:rsidP="008E06E2">
            <w:pPr>
              <w:numPr>
                <w:ilvl w:val="0"/>
                <w:numId w:val="8"/>
              </w:numPr>
            </w:pPr>
            <w:r w:rsidRPr="008A1264">
              <w:t>Identifies clear win-win situations with external partners.</w:t>
            </w:r>
          </w:p>
          <w:p w:rsidR="00A06C9C" w:rsidRDefault="00A06C9C" w:rsidP="008E06E2">
            <w:pPr>
              <w:keepNext/>
              <w:outlineLvl w:val="0"/>
              <w:rPr>
                <w:b/>
                <w:bCs/>
              </w:rPr>
            </w:pPr>
          </w:p>
          <w:p w:rsidR="00A06C9C" w:rsidRDefault="00A06C9C" w:rsidP="008E06E2">
            <w:pPr>
              <w:keepNext/>
              <w:outlineLvl w:val="0"/>
              <w:rPr>
                <w:b/>
                <w:bCs/>
              </w:rPr>
            </w:pPr>
          </w:p>
          <w:p w:rsidR="008A1264" w:rsidRPr="008A1264" w:rsidRDefault="008A1264" w:rsidP="008E06E2">
            <w:pPr>
              <w:keepNext/>
              <w:outlineLvl w:val="0"/>
              <w:rPr>
                <w:b/>
                <w:bCs/>
              </w:rPr>
            </w:pPr>
            <w:r w:rsidRPr="008A1264">
              <w:rPr>
                <w:b/>
                <w:bCs/>
              </w:rPr>
              <w:t>Stakeholder focus</w:t>
            </w:r>
          </w:p>
          <w:p w:rsidR="008A1264" w:rsidRPr="008A1264" w:rsidRDefault="008A1264" w:rsidP="008E06E2">
            <w:r w:rsidRPr="008A1264">
              <w:t>…is consulting with, listening to and understanding the needs of those our work impacts and using this knowledge to shape what we do and manage others’ expectations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9"/>
              </w:numPr>
            </w:pPr>
            <w:r w:rsidRPr="008A1264">
              <w:lastRenderedPageBreak/>
              <w:t>Adapts objectives and the OPDC’s public facing position based on the context behind stakeholder needs and requests.</w:t>
            </w:r>
          </w:p>
          <w:p w:rsidR="008A1264" w:rsidRPr="008A1264" w:rsidRDefault="008A1264" w:rsidP="008E06E2">
            <w:pPr>
              <w:numPr>
                <w:ilvl w:val="0"/>
                <w:numId w:val="9"/>
              </w:numPr>
            </w:pPr>
            <w:r w:rsidRPr="008A1264">
              <w:t>Builds the OPDC’s reputation as an organisation committed to meeting the needs of Londoners</w:t>
            </w:r>
          </w:p>
          <w:p w:rsidR="008A1264" w:rsidRPr="008A1264" w:rsidRDefault="008A1264" w:rsidP="008E06E2">
            <w:pPr>
              <w:numPr>
                <w:ilvl w:val="0"/>
                <w:numId w:val="9"/>
              </w:numPr>
            </w:pPr>
            <w:r w:rsidRPr="008A1264">
              <w:t>Manages partner organisations’ and Londoners’ expectations of the OPDC by anticipating and influencing changing priorities</w:t>
            </w:r>
          </w:p>
          <w:p w:rsidR="008A1264" w:rsidRPr="008A1264" w:rsidRDefault="008A1264" w:rsidP="008E06E2">
            <w:pPr>
              <w:numPr>
                <w:ilvl w:val="0"/>
                <w:numId w:val="9"/>
              </w:numPr>
            </w:pPr>
            <w:r w:rsidRPr="008A1264">
              <w:t>Instils a culture that encourages OPDC staff to think about meeting Londoners’ needs first</w:t>
            </w:r>
          </w:p>
          <w:p w:rsidR="008A1264" w:rsidRPr="008A1264" w:rsidRDefault="008A1264" w:rsidP="008E06E2">
            <w:pPr>
              <w:numPr>
                <w:ilvl w:val="0"/>
                <w:numId w:val="9"/>
              </w:numPr>
            </w:pPr>
            <w:r w:rsidRPr="008A1264">
              <w:t xml:space="preserve">Builds the confidence of staff, partner organisations and Londoners by ensuring the OPDC delivers </w:t>
            </w:r>
            <w:r w:rsidR="00AF6C8C">
              <w:t xml:space="preserve">high </w:t>
            </w:r>
            <w:r w:rsidRPr="008A1264">
              <w:t>quality work</w:t>
            </w:r>
          </w:p>
          <w:p w:rsidR="008A1264" w:rsidRPr="008A1264" w:rsidRDefault="008A1264" w:rsidP="008E06E2"/>
          <w:p w:rsidR="005F679B" w:rsidRPr="008A1264" w:rsidRDefault="005F679B" w:rsidP="008E06E2"/>
          <w:p w:rsidR="008A1264" w:rsidRPr="008A1264" w:rsidRDefault="008A1264" w:rsidP="008E06E2">
            <w:pPr>
              <w:rPr>
                <w:b/>
              </w:rPr>
            </w:pPr>
            <w:r w:rsidRPr="008A1264">
              <w:rPr>
                <w:b/>
              </w:rPr>
              <w:t>Communicating and Influencing</w:t>
            </w:r>
          </w:p>
          <w:p w:rsidR="008A1264" w:rsidRPr="008A1264" w:rsidRDefault="008A1264" w:rsidP="008E06E2">
            <w:r w:rsidRPr="008A1264">
              <w:t xml:space="preserve">…is presenting information and arguments clearly and convincingly so that others see us as credible and </w:t>
            </w:r>
            <w:r w:rsidR="00FC1271" w:rsidRPr="008A1264">
              <w:t>articulate and</w:t>
            </w:r>
            <w:r w:rsidRPr="008A1264">
              <w:t xml:space="preserve"> engage with us.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6"/>
              </w:numPr>
            </w:pPr>
            <w:r w:rsidRPr="008A1264">
              <w:t>Articulates self with credibility and conviction, encouraging buy-in to corporate position</w:t>
            </w:r>
          </w:p>
          <w:p w:rsidR="008A1264" w:rsidRPr="008A1264" w:rsidRDefault="008A1264" w:rsidP="008E06E2">
            <w:pPr>
              <w:numPr>
                <w:ilvl w:val="0"/>
                <w:numId w:val="16"/>
              </w:numPr>
            </w:pPr>
            <w:r w:rsidRPr="008A1264">
              <w:t>Influences the thinking of other organisations, encouraging them to deliver in line with the OPDC</w:t>
            </w:r>
          </w:p>
          <w:p w:rsidR="008A1264" w:rsidRPr="008A1264" w:rsidRDefault="008A1264" w:rsidP="008E06E2">
            <w:pPr>
              <w:numPr>
                <w:ilvl w:val="0"/>
                <w:numId w:val="16"/>
              </w:numPr>
            </w:pPr>
            <w:r w:rsidRPr="008A1264">
              <w:t>Ensures that the organisation communicates inclusively with staff and external stakeholders</w:t>
            </w:r>
          </w:p>
          <w:p w:rsidR="008A1264" w:rsidRPr="008A1264" w:rsidRDefault="008A1264" w:rsidP="008E06E2">
            <w:pPr>
              <w:numPr>
                <w:ilvl w:val="0"/>
                <w:numId w:val="16"/>
              </w:numPr>
            </w:pPr>
            <w:r w:rsidRPr="008A1264">
              <w:t>Acts as a credible and convincing spokesperson and negotiator for the OPDC.</w:t>
            </w:r>
          </w:p>
          <w:p w:rsidR="008A1264" w:rsidRPr="008A1264" w:rsidRDefault="008A1264" w:rsidP="008E06E2">
            <w:pPr>
              <w:numPr>
                <w:ilvl w:val="0"/>
                <w:numId w:val="16"/>
              </w:numPr>
            </w:pPr>
            <w:r w:rsidRPr="008A1264">
              <w:t>Instils a corporate commitment to accessible communication.</w:t>
            </w:r>
          </w:p>
          <w:p w:rsidR="008A1264" w:rsidRPr="008A1264" w:rsidRDefault="008A1264" w:rsidP="008E06E2">
            <w:pPr>
              <w:ind w:left="720"/>
            </w:pPr>
          </w:p>
          <w:p w:rsidR="00B85129" w:rsidRDefault="00B85129" w:rsidP="008E06E2">
            <w:pPr>
              <w:keepNext/>
              <w:outlineLvl w:val="0"/>
              <w:rPr>
                <w:b/>
                <w:bCs/>
              </w:rPr>
            </w:pPr>
          </w:p>
          <w:p w:rsidR="008A1264" w:rsidRPr="008A1264" w:rsidRDefault="008A1264" w:rsidP="008E06E2">
            <w:pPr>
              <w:keepNext/>
              <w:outlineLvl w:val="0"/>
              <w:rPr>
                <w:b/>
                <w:bCs/>
              </w:rPr>
            </w:pPr>
            <w:r w:rsidRPr="008A1264">
              <w:rPr>
                <w:b/>
                <w:bCs/>
              </w:rPr>
              <w:t>Strategic thinking</w:t>
            </w:r>
          </w:p>
          <w:p w:rsidR="008A1264" w:rsidRPr="008A1264" w:rsidRDefault="008A1264" w:rsidP="008E06E2">
            <w:r w:rsidRPr="008A1264">
              <w:t>…is using an understanding of the bigger picture to uncover potential challenges and opportunities for the long term and turning those into a compelling vision for action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0"/>
              </w:numPr>
            </w:pPr>
            <w:r w:rsidRPr="008A1264">
              <w:t>Develops a positive and compelling vision of London’s future potential, demonstrating confidence in the strategic direction of the OPDC</w:t>
            </w:r>
          </w:p>
          <w:p w:rsidR="008A1264" w:rsidRPr="008A1264" w:rsidRDefault="008A1264" w:rsidP="008E06E2">
            <w:pPr>
              <w:numPr>
                <w:ilvl w:val="0"/>
                <w:numId w:val="10"/>
              </w:numPr>
            </w:pPr>
            <w:r w:rsidRPr="008A1264">
              <w:t>Translates an understanding of the complex and diverse threats and issues facing London into positive action</w:t>
            </w:r>
          </w:p>
          <w:p w:rsidR="008A1264" w:rsidRPr="008A1264" w:rsidRDefault="008A1264" w:rsidP="008E06E2">
            <w:pPr>
              <w:numPr>
                <w:ilvl w:val="0"/>
                <w:numId w:val="10"/>
              </w:numPr>
            </w:pPr>
            <w:r w:rsidRPr="008A1264">
              <w:t>Proactively involves partners in strategic thinking, incorporating their views into plans and working with them to align strategic priorities</w:t>
            </w:r>
          </w:p>
          <w:p w:rsidR="008A1264" w:rsidRPr="008A1264" w:rsidRDefault="008A1264" w:rsidP="008E06E2">
            <w:pPr>
              <w:numPr>
                <w:ilvl w:val="0"/>
                <w:numId w:val="10"/>
              </w:numPr>
            </w:pPr>
            <w:r w:rsidRPr="008A1264">
              <w:t>Sets organisational priorities by identifying where time and investment is needed most</w:t>
            </w:r>
          </w:p>
          <w:p w:rsidR="008A1264" w:rsidRPr="008A1264" w:rsidRDefault="008A1264" w:rsidP="008E06E2">
            <w:pPr>
              <w:numPr>
                <w:ilvl w:val="0"/>
                <w:numId w:val="10"/>
              </w:numPr>
            </w:pPr>
            <w:r w:rsidRPr="008A1264">
              <w:t>Generates and leads strategic initiatives that reflect the OPDC’s position as a Mayoral development corporation</w:t>
            </w:r>
          </w:p>
          <w:p w:rsidR="008A1264" w:rsidRPr="008A1264" w:rsidRDefault="008A1264" w:rsidP="008E06E2">
            <w:pPr>
              <w:ind w:right="-1186"/>
            </w:pPr>
          </w:p>
          <w:p w:rsidR="009E325C" w:rsidRPr="008A1264" w:rsidRDefault="009E325C" w:rsidP="008E06E2">
            <w:pPr>
              <w:ind w:right="-1186"/>
            </w:pPr>
          </w:p>
          <w:p w:rsidR="008A1264" w:rsidRPr="008A1264" w:rsidRDefault="008A1264" w:rsidP="008E06E2">
            <w:pPr>
              <w:keepNext/>
              <w:outlineLvl w:val="0"/>
              <w:rPr>
                <w:b/>
                <w:bCs/>
              </w:rPr>
            </w:pPr>
            <w:r w:rsidRPr="008A1264">
              <w:rPr>
                <w:b/>
                <w:bCs/>
              </w:rPr>
              <w:t>Managing and developing performance</w:t>
            </w:r>
          </w:p>
          <w:p w:rsidR="008A1264" w:rsidRPr="008A1264" w:rsidRDefault="008A1264" w:rsidP="008E06E2">
            <w:r w:rsidRPr="008A1264">
              <w:t>…is setting high standards for oneself and others, guiding, motivating and developing them, to achieve high performance and meet the OPDC’s objectives and statutory obligations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1"/>
              </w:numPr>
            </w:pPr>
            <w:r w:rsidRPr="008A1264">
              <w:t>Creates an organisation that learns from experience</w:t>
            </w:r>
          </w:p>
          <w:p w:rsidR="008A1264" w:rsidRPr="008A1264" w:rsidRDefault="008A1264" w:rsidP="008E06E2">
            <w:pPr>
              <w:numPr>
                <w:ilvl w:val="0"/>
                <w:numId w:val="11"/>
              </w:numPr>
            </w:pPr>
            <w:r w:rsidRPr="008A1264">
              <w:lastRenderedPageBreak/>
              <w:t>Sets clear organisational objectives, cascading challenging yet achievable deliverables to directorates</w:t>
            </w:r>
          </w:p>
          <w:p w:rsidR="008A1264" w:rsidRPr="008A1264" w:rsidRDefault="008A1264" w:rsidP="008E06E2">
            <w:pPr>
              <w:numPr>
                <w:ilvl w:val="0"/>
                <w:numId w:val="11"/>
              </w:numPr>
            </w:pPr>
            <w:r w:rsidRPr="008A1264">
              <w:t>Identifies strategic level performance indicators and communicates these clearly</w:t>
            </w:r>
          </w:p>
          <w:p w:rsidR="008A1264" w:rsidRPr="008A1264" w:rsidRDefault="008A1264" w:rsidP="008E06E2">
            <w:pPr>
              <w:numPr>
                <w:ilvl w:val="0"/>
                <w:numId w:val="11"/>
              </w:numPr>
            </w:pPr>
            <w:r w:rsidRPr="008A1264">
              <w:t>Leads and sets an example for desired behaviour and performance for OPDC staff</w:t>
            </w:r>
          </w:p>
          <w:p w:rsidR="008A1264" w:rsidRPr="008A1264" w:rsidRDefault="008A1264" w:rsidP="008E06E2">
            <w:pPr>
              <w:numPr>
                <w:ilvl w:val="0"/>
                <w:numId w:val="11"/>
              </w:numPr>
            </w:pPr>
            <w:r w:rsidRPr="008A1264">
              <w:t>Instils a culture of high performance and outstanding results where staff are encouraged to perform to their best</w:t>
            </w:r>
          </w:p>
          <w:p w:rsidR="008A1264" w:rsidRDefault="008A1264" w:rsidP="008E06E2">
            <w:pPr>
              <w:ind w:right="-1186"/>
            </w:pPr>
          </w:p>
          <w:p w:rsidR="005F679B" w:rsidRDefault="005F679B" w:rsidP="008E06E2">
            <w:pPr>
              <w:ind w:right="-1186"/>
            </w:pPr>
          </w:p>
          <w:p w:rsidR="008A1264" w:rsidRPr="008A1264" w:rsidRDefault="008A1264" w:rsidP="008E06E2">
            <w:pPr>
              <w:keepNext/>
              <w:outlineLvl w:val="0"/>
              <w:rPr>
                <w:b/>
                <w:bCs/>
              </w:rPr>
            </w:pPr>
            <w:r w:rsidRPr="008A1264">
              <w:rPr>
                <w:b/>
                <w:bCs/>
              </w:rPr>
              <w:t>Decision making</w:t>
            </w:r>
          </w:p>
          <w:p w:rsidR="008A1264" w:rsidRPr="008A1264" w:rsidRDefault="008A1264" w:rsidP="008E06E2">
            <w:r w:rsidRPr="008A1264">
              <w:t>…is forming sound, evidence-based judgements, making choices, assessing risks to delivery, and taking accountability for results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2"/>
              </w:numPr>
            </w:pPr>
            <w:r w:rsidRPr="008A1264">
              <w:t>Makes difficult decisions for the long-term benefit of the organisation</w:t>
            </w:r>
          </w:p>
          <w:p w:rsidR="008A1264" w:rsidRPr="008A1264" w:rsidRDefault="008A1264" w:rsidP="008E06E2">
            <w:pPr>
              <w:numPr>
                <w:ilvl w:val="0"/>
                <w:numId w:val="12"/>
              </w:numPr>
            </w:pPr>
            <w:r w:rsidRPr="008A1264">
              <w:t>Presents and instils confidence in strategic decision-making</w:t>
            </w:r>
          </w:p>
          <w:p w:rsidR="008A1264" w:rsidRPr="008A1264" w:rsidRDefault="008A1264" w:rsidP="008E06E2">
            <w:pPr>
              <w:numPr>
                <w:ilvl w:val="0"/>
                <w:numId w:val="12"/>
              </w:numPr>
            </w:pPr>
            <w:r w:rsidRPr="008A1264">
              <w:t>Consults stakeholders early in critical organisation-wide decisions</w:t>
            </w:r>
          </w:p>
          <w:p w:rsidR="008A1264" w:rsidRPr="008A1264" w:rsidRDefault="008A1264" w:rsidP="008E06E2">
            <w:pPr>
              <w:numPr>
                <w:ilvl w:val="0"/>
                <w:numId w:val="12"/>
              </w:numPr>
            </w:pPr>
            <w:r w:rsidRPr="008A1264">
              <w:t>Stands by the decisions and actions of the OPDC</w:t>
            </w:r>
          </w:p>
          <w:p w:rsidR="008A1264" w:rsidRPr="008A1264" w:rsidRDefault="008A1264" w:rsidP="008E06E2">
            <w:pPr>
              <w:numPr>
                <w:ilvl w:val="0"/>
                <w:numId w:val="12"/>
              </w:numPr>
            </w:pPr>
            <w:r w:rsidRPr="008A1264">
              <w:t>Accepts and promotes accountability for the OPDC’s decision-making</w:t>
            </w:r>
          </w:p>
          <w:p w:rsidR="008A1264" w:rsidRPr="008A1264" w:rsidRDefault="008A1264" w:rsidP="008E06E2">
            <w:pPr>
              <w:numPr>
                <w:ilvl w:val="0"/>
                <w:numId w:val="12"/>
              </w:numPr>
            </w:pPr>
            <w:r w:rsidRPr="008A1264">
              <w:t>Ensures the organisation balances effective risk management with the need for timely actions</w:t>
            </w:r>
          </w:p>
          <w:p w:rsidR="008A1264" w:rsidRPr="008A1264" w:rsidRDefault="008A1264" w:rsidP="008E06E2">
            <w:pPr>
              <w:ind w:right="-1186"/>
            </w:pPr>
          </w:p>
          <w:p w:rsidR="00954430" w:rsidRDefault="00954430" w:rsidP="008E06E2">
            <w:pPr>
              <w:keepNext/>
              <w:outlineLvl w:val="0"/>
              <w:rPr>
                <w:b/>
                <w:bCs/>
              </w:rPr>
            </w:pPr>
          </w:p>
          <w:p w:rsidR="008A1264" w:rsidRPr="008A1264" w:rsidRDefault="008A1264" w:rsidP="008E06E2">
            <w:pPr>
              <w:keepNext/>
              <w:outlineLvl w:val="0"/>
              <w:rPr>
                <w:b/>
                <w:bCs/>
              </w:rPr>
            </w:pPr>
            <w:r w:rsidRPr="008A1264">
              <w:rPr>
                <w:b/>
                <w:bCs/>
              </w:rPr>
              <w:t>Responding to pressure and change</w:t>
            </w:r>
          </w:p>
          <w:p w:rsidR="008A1264" w:rsidRPr="008A1264" w:rsidRDefault="008A1264" w:rsidP="008E06E2">
            <w:r w:rsidRPr="008A1264">
              <w:t>…is being flexible and adapting positively, to sustain performance when the situation changes, workload increases, tensions rise or priorities shift.</w:t>
            </w:r>
          </w:p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</w:p>
          <w:p w:rsidR="008A1264" w:rsidRPr="008A1264" w:rsidRDefault="008A1264" w:rsidP="008E06E2">
            <w:pPr>
              <w:keepNext/>
              <w:outlineLvl w:val="1"/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3"/>
              </w:numPr>
            </w:pPr>
            <w:r w:rsidRPr="008A1264">
              <w:t>Demonstrates resilience in the face of challenge from staff, media and partner organisations</w:t>
            </w:r>
          </w:p>
          <w:p w:rsidR="008A1264" w:rsidRPr="008A1264" w:rsidRDefault="008A1264" w:rsidP="008E06E2">
            <w:pPr>
              <w:numPr>
                <w:ilvl w:val="0"/>
                <w:numId w:val="13"/>
              </w:numPr>
            </w:pPr>
            <w:r w:rsidRPr="008A1264">
              <w:t>Promotes the OPDC as a flexible organisation, responding to the changing needs of Londoners</w:t>
            </w:r>
          </w:p>
          <w:p w:rsidR="008A1264" w:rsidRPr="008A1264" w:rsidRDefault="008A1264" w:rsidP="008E06E2">
            <w:pPr>
              <w:numPr>
                <w:ilvl w:val="0"/>
                <w:numId w:val="13"/>
              </w:numPr>
            </w:pPr>
            <w:r w:rsidRPr="008A1264">
              <w:t>Shows positivity in the face of external pressure, minimising negative impact</w:t>
            </w:r>
          </w:p>
          <w:p w:rsidR="008A1264" w:rsidRPr="008A1264" w:rsidRDefault="008A1264" w:rsidP="008E06E2">
            <w:pPr>
              <w:numPr>
                <w:ilvl w:val="0"/>
                <w:numId w:val="13"/>
              </w:numPr>
            </w:pPr>
            <w:r w:rsidRPr="008A1264">
              <w:t>Drives a culture of continuous improvement</w:t>
            </w:r>
          </w:p>
          <w:p w:rsidR="008A1264" w:rsidRPr="008A1264" w:rsidRDefault="008A1264" w:rsidP="008E06E2">
            <w:pPr>
              <w:numPr>
                <w:ilvl w:val="0"/>
                <w:numId w:val="13"/>
              </w:numPr>
            </w:pPr>
            <w:r w:rsidRPr="008A1264">
              <w:t>Sets the direction for organisational development and ensures effective communication of change initiatives</w:t>
            </w:r>
          </w:p>
          <w:p w:rsidR="008A1264" w:rsidRPr="008A1264" w:rsidRDefault="008A1264" w:rsidP="008E06E2"/>
          <w:p w:rsidR="00B85129" w:rsidRDefault="00B85129" w:rsidP="008E06E2">
            <w:pPr>
              <w:rPr>
                <w:b/>
              </w:rPr>
            </w:pPr>
          </w:p>
          <w:p w:rsidR="008A1264" w:rsidRPr="008A1264" w:rsidRDefault="008A1264" w:rsidP="008E06E2">
            <w:pPr>
              <w:rPr>
                <w:b/>
              </w:rPr>
            </w:pPr>
            <w:r w:rsidRPr="008A1264">
              <w:rPr>
                <w:b/>
              </w:rPr>
              <w:t>Planning and Organising</w:t>
            </w:r>
          </w:p>
          <w:p w:rsidR="008A1264" w:rsidRPr="008A1264" w:rsidRDefault="008A1264" w:rsidP="008E06E2">
            <w:r w:rsidRPr="008A1264">
              <w:t>…is thinking ahead, managing time, priorities and risk, and developing structured and efficient approaches to deliver work on time and to a high standard.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4"/>
              </w:numPr>
            </w:pPr>
            <w:r w:rsidRPr="008A1264">
              <w:t>Takes accountability for monitoring delivery of the OPDC’s commitments</w:t>
            </w:r>
          </w:p>
          <w:p w:rsidR="008A1264" w:rsidRPr="008A1264" w:rsidRDefault="008A1264" w:rsidP="008E06E2">
            <w:pPr>
              <w:numPr>
                <w:ilvl w:val="0"/>
                <w:numId w:val="14"/>
              </w:numPr>
            </w:pPr>
            <w:r w:rsidRPr="008A1264">
              <w:t>Uses quality assurance processes across the organisation as a feedback mechanism to improve performance</w:t>
            </w:r>
          </w:p>
          <w:p w:rsidR="008A1264" w:rsidRPr="008A1264" w:rsidRDefault="008A1264" w:rsidP="008E06E2">
            <w:pPr>
              <w:numPr>
                <w:ilvl w:val="0"/>
                <w:numId w:val="14"/>
              </w:numPr>
            </w:pPr>
            <w:r w:rsidRPr="008A1264">
              <w:t>Takes responsibility for ensuring tools and techniques are available for the effective management of programmes</w:t>
            </w:r>
          </w:p>
          <w:p w:rsidR="008A1264" w:rsidRPr="008A1264" w:rsidRDefault="008A1264" w:rsidP="008E06E2">
            <w:pPr>
              <w:numPr>
                <w:ilvl w:val="0"/>
                <w:numId w:val="14"/>
              </w:numPr>
            </w:pPr>
            <w:r w:rsidRPr="008A1264">
              <w:t>Realigns OPDC objectives to respond to changing external and internal agendas</w:t>
            </w:r>
          </w:p>
          <w:p w:rsidR="008A1264" w:rsidRPr="008A1264" w:rsidRDefault="008A1264" w:rsidP="008E06E2">
            <w:pPr>
              <w:numPr>
                <w:ilvl w:val="0"/>
                <w:numId w:val="14"/>
              </w:numPr>
            </w:pPr>
            <w:r w:rsidRPr="008A1264">
              <w:t>Uses feedback from all sectors as a performance measure for OPDC work.</w:t>
            </w:r>
          </w:p>
          <w:p w:rsidR="008A1264" w:rsidRPr="008A1264" w:rsidRDefault="008A1264" w:rsidP="008E06E2"/>
          <w:p w:rsidR="00954430" w:rsidRDefault="00954430" w:rsidP="008E06E2">
            <w:pPr>
              <w:rPr>
                <w:b/>
              </w:rPr>
            </w:pPr>
          </w:p>
          <w:p w:rsidR="008A1264" w:rsidRPr="008A1264" w:rsidRDefault="008A1264" w:rsidP="008E06E2">
            <w:pPr>
              <w:rPr>
                <w:b/>
              </w:rPr>
            </w:pPr>
            <w:r w:rsidRPr="008A1264">
              <w:rPr>
                <w:b/>
              </w:rPr>
              <w:t>Responsible use of Resources</w:t>
            </w:r>
          </w:p>
          <w:p w:rsidR="008A1264" w:rsidRPr="008A1264" w:rsidRDefault="008A1264" w:rsidP="008E06E2">
            <w:r w:rsidRPr="008A1264">
              <w:t>…is taking personal responsibility for using and managing resources effectively, efficiently and sustainably.</w:t>
            </w:r>
          </w:p>
          <w:p w:rsidR="008A1264" w:rsidRPr="008A1264" w:rsidRDefault="008A1264" w:rsidP="008E06E2"/>
          <w:p w:rsidR="008A1264" w:rsidRPr="008A1264" w:rsidRDefault="008A1264" w:rsidP="008E06E2">
            <w:pPr>
              <w:rPr>
                <w:u w:val="single"/>
              </w:rPr>
            </w:pPr>
            <w:r w:rsidRPr="008A1264">
              <w:rPr>
                <w:u w:val="single"/>
              </w:rPr>
              <w:t>Level 4 indicators of effective performance</w:t>
            </w:r>
          </w:p>
          <w:p w:rsidR="008A1264" w:rsidRPr="008A1264" w:rsidRDefault="008A1264" w:rsidP="008E06E2">
            <w:pPr>
              <w:numPr>
                <w:ilvl w:val="0"/>
                <w:numId w:val="15"/>
              </w:numPr>
            </w:pPr>
            <w:r w:rsidRPr="008A1264">
              <w:t>Explores different options for funding and income generation</w:t>
            </w:r>
          </w:p>
          <w:p w:rsidR="008A1264" w:rsidRPr="008A1264" w:rsidRDefault="008A1264" w:rsidP="008E06E2">
            <w:pPr>
              <w:numPr>
                <w:ilvl w:val="0"/>
                <w:numId w:val="15"/>
              </w:numPr>
            </w:pPr>
            <w:r w:rsidRPr="008A1264">
              <w:t>Sets budgets, understanding current costs and challenging teams to deliver greater efficiency</w:t>
            </w:r>
          </w:p>
          <w:p w:rsidR="008A1264" w:rsidRPr="008A1264" w:rsidRDefault="008A1264" w:rsidP="008E06E2">
            <w:pPr>
              <w:numPr>
                <w:ilvl w:val="0"/>
                <w:numId w:val="15"/>
              </w:numPr>
            </w:pPr>
            <w:r w:rsidRPr="008A1264">
              <w:t>Monitors resource allocation across the organisation, ensuring the OPDC works within budget and resources</w:t>
            </w:r>
          </w:p>
          <w:p w:rsidR="008A1264" w:rsidRPr="008A1264" w:rsidRDefault="008A1264" w:rsidP="008E06E2">
            <w:pPr>
              <w:numPr>
                <w:ilvl w:val="0"/>
                <w:numId w:val="15"/>
              </w:numPr>
            </w:pPr>
            <w:r w:rsidRPr="008A1264">
              <w:t>Ensures the OPDC procures and uses resources fairly and responsibly and with regard for environmental efficiencies</w:t>
            </w:r>
          </w:p>
          <w:p w:rsidR="00303B1C" w:rsidRPr="00B85129" w:rsidRDefault="008A1264" w:rsidP="00B85129">
            <w:pPr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8A1264">
              <w:t>Leads initiatives to identify and deliver efficiencies across the GLA Group and through partnership working.</w:t>
            </w:r>
          </w:p>
          <w:p w:rsidR="00B85129" w:rsidRPr="00303B1C" w:rsidRDefault="00B85129" w:rsidP="00B85129">
            <w:pPr>
              <w:ind w:left="720"/>
              <w:rPr>
                <w:b/>
                <w:u w:val="single"/>
              </w:rPr>
            </w:pPr>
          </w:p>
        </w:tc>
      </w:tr>
    </w:tbl>
    <w:p w:rsidR="00AF22A0" w:rsidRPr="00AF22A0" w:rsidRDefault="00AF22A0" w:rsidP="00AF22A0"/>
    <w:sectPr w:rsidR="00AF22A0" w:rsidRPr="00AF22A0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53" w:rsidRDefault="00B65D53" w:rsidP="00D24366">
      <w:r>
        <w:separator/>
      </w:r>
    </w:p>
  </w:endnote>
  <w:endnote w:type="continuationSeparator" w:id="0">
    <w:p w:rsidR="00B65D53" w:rsidRDefault="00B65D53" w:rsidP="00D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53" w:rsidRDefault="00B65D53" w:rsidP="00D24366">
      <w:r>
        <w:separator/>
      </w:r>
    </w:p>
  </w:footnote>
  <w:footnote w:type="continuationSeparator" w:id="0">
    <w:p w:rsidR="00B65D53" w:rsidRDefault="00B65D53" w:rsidP="00D2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66" w:rsidRDefault="006930D4">
    <w:pPr>
      <w:pStyle w:val="Header"/>
    </w:pPr>
    <w:r w:rsidRPr="002F78FB">
      <w:rPr>
        <w:noProof/>
        <w:lang w:eastAsia="en-GB"/>
      </w:rPr>
      <w:drawing>
        <wp:inline distT="0" distB="0" distL="0" distR="0" wp14:anchorId="1EF80AE9" wp14:editId="2CC748F7">
          <wp:extent cx="1097280" cy="605667"/>
          <wp:effectExtent l="0" t="0" r="7620" b="4445"/>
          <wp:docPr id="2" name="Picture 2" descr="\\profileshare3\rdrfoldersK-P\kpassley\Desktop\committed_to_being_an_inclusive_employe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hare3\rdrfoldersK-P\kpassley\Desktop\committed_to_being_an_inclusive_employer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06" cy="62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366">
      <w:tab/>
    </w:r>
    <w:r w:rsidR="00D24366">
      <w:tab/>
    </w:r>
    <w:r w:rsidR="00D24366">
      <w:rPr>
        <w:b/>
        <w:noProof/>
        <w:color w:val="BFBFBF"/>
        <w:sz w:val="28"/>
        <w:szCs w:val="28"/>
        <w:lang w:eastAsia="en-GB"/>
      </w:rPr>
      <w:drawing>
        <wp:inline distT="0" distB="0" distL="0" distR="0" wp14:anchorId="40128AE6" wp14:editId="226774BF">
          <wp:extent cx="866775" cy="627665"/>
          <wp:effectExtent l="0" t="0" r="0" b="1270"/>
          <wp:docPr id="1" name="Picture 1" descr="opd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dc 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09" cy="6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C72"/>
    <w:multiLevelType w:val="hybridMultilevel"/>
    <w:tmpl w:val="A4DC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6F2"/>
    <w:multiLevelType w:val="hybridMultilevel"/>
    <w:tmpl w:val="7A1AB1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275CB"/>
    <w:multiLevelType w:val="hybridMultilevel"/>
    <w:tmpl w:val="84FC6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3765"/>
    <w:multiLevelType w:val="hybridMultilevel"/>
    <w:tmpl w:val="F1BE8900"/>
    <w:lvl w:ilvl="0" w:tplc="0809000F">
      <w:start w:val="1"/>
      <w:numFmt w:val="decimal"/>
      <w:lvlText w:val="%1."/>
      <w:lvlJc w:val="left"/>
      <w:pPr>
        <w:ind w:left="687" w:hanging="360"/>
      </w:pPr>
    </w:lvl>
    <w:lvl w:ilvl="1" w:tplc="08090019">
      <w:start w:val="1"/>
      <w:numFmt w:val="lowerLetter"/>
      <w:lvlText w:val="%2."/>
      <w:lvlJc w:val="left"/>
      <w:pPr>
        <w:ind w:left="1407" w:hanging="360"/>
      </w:pPr>
    </w:lvl>
    <w:lvl w:ilvl="2" w:tplc="0809001B" w:tentative="1">
      <w:start w:val="1"/>
      <w:numFmt w:val="lowerRoman"/>
      <w:lvlText w:val="%3."/>
      <w:lvlJc w:val="right"/>
      <w:pPr>
        <w:ind w:left="2127" w:hanging="180"/>
      </w:pPr>
    </w:lvl>
    <w:lvl w:ilvl="3" w:tplc="0809000F" w:tentative="1">
      <w:start w:val="1"/>
      <w:numFmt w:val="decimal"/>
      <w:lvlText w:val="%4."/>
      <w:lvlJc w:val="left"/>
      <w:pPr>
        <w:ind w:left="2847" w:hanging="360"/>
      </w:pPr>
    </w:lvl>
    <w:lvl w:ilvl="4" w:tplc="08090019" w:tentative="1">
      <w:start w:val="1"/>
      <w:numFmt w:val="lowerLetter"/>
      <w:lvlText w:val="%5."/>
      <w:lvlJc w:val="left"/>
      <w:pPr>
        <w:ind w:left="3567" w:hanging="360"/>
      </w:pPr>
    </w:lvl>
    <w:lvl w:ilvl="5" w:tplc="0809001B" w:tentative="1">
      <w:start w:val="1"/>
      <w:numFmt w:val="lowerRoman"/>
      <w:lvlText w:val="%6."/>
      <w:lvlJc w:val="right"/>
      <w:pPr>
        <w:ind w:left="4287" w:hanging="180"/>
      </w:pPr>
    </w:lvl>
    <w:lvl w:ilvl="6" w:tplc="0809000F" w:tentative="1">
      <w:start w:val="1"/>
      <w:numFmt w:val="decimal"/>
      <w:lvlText w:val="%7."/>
      <w:lvlJc w:val="left"/>
      <w:pPr>
        <w:ind w:left="5007" w:hanging="360"/>
      </w:pPr>
    </w:lvl>
    <w:lvl w:ilvl="7" w:tplc="08090019" w:tentative="1">
      <w:start w:val="1"/>
      <w:numFmt w:val="lowerLetter"/>
      <w:lvlText w:val="%8."/>
      <w:lvlJc w:val="left"/>
      <w:pPr>
        <w:ind w:left="5727" w:hanging="360"/>
      </w:pPr>
    </w:lvl>
    <w:lvl w:ilvl="8" w:tplc="08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 w15:restartNumberingAfterBreak="0">
    <w:nsid w:val="1BA00824"/>
    <w:multiLevelType w:val="hybridMultilevel"/>
    <w:tmpl w:val="1F76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4EB2"/>
    <w:multiLevelType w:val="hybridMultilevel"/>
    <w:tmpl w:val="D7F43CAA"/>
    <w:lvl w:ilvl="0" w:tplc="08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FA54264"/>
    <w:multiLevelType w:val="hybridMultilevel"/>
    <w:tmpl w:val="934A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CEF"/>
    <w:multiLevelType w:val="hybridMultilevel"/>
    <w:tmpl w:val="0890D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22F8"/>
    <w:multiLevelType w:val="hybridMultilevel"/>
    <w:tmpl w:val="4634B5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872"/>
    <w:multiLevelType w:val="hybridMultilevel"/>
    <w:tmpl w:val="F7AE5F0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A320D5F"/>
    <w:multiLevelType w:val="hybridMultilevel"/>
    <w:tmpl w:val="645C92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C34C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75AA7"/>
    <w:multiLevelType w:val="hybridMultilevel"/>
    <w:tmpl w:val="F394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3152"/>
    <w:multiLevelType w:val="hybridMultilevel"/>
    <w:tmpl w:val="515CB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D2488"/>
    <w:multiLevelType w:val="hybridMultilevel"/>
    <w:tmpl w:val="54080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3B42"/>
    <w:multiLevelType w:val="hybridMultilevel"/>
    <w:tmpl w:val="3BC43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61073"/>
    <w:multiLevelType w:val="hybridMultilevel"/>
    <w:tmpl w:val="5FA25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37F6"/>
    <w:multiLevelType w:val="hybridMultilevel"/>
    <w:tmpl w:val="F9C487C0"/>
    <w:lvl w:ilvl="0" w:tplc="84D8DE8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D466F"/>
    <w:multiLevelType w:val="hybridMultilevel"/>
    <w:tmpl w:val="9CD4D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50C13"/>
    <w:multiLevelType w:val="hybridMultilevel"/>
    <w:tmpl w:val="E000D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32C1C"/>
    <w:multiLevelType w:val="hybridMultilevel"/>
    <w:tmpl w:val="DC9CD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2708"/>
    <w:multiLevelType w:val="hybridMultilevel"/>
    <w:tmpl w:val="4FDA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D5614"/>
    <w:multiLevelType w:val="hybridMultilevel"/>
    <w:tmpl w:val="152A4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7119A"/>
    <w:multiLevelType w:val="hybridMultilevel"/>
    <w:tmpl w:val="0942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C579B"/>
    <w:multiLevelType w:val="hybridMultilevel"/>
    <w:tmpl w:val="3374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6134"/>
    <w:multiLevelType w:val="hybridMultilevel"/>
    <w:tmpl w:val="8EC2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82F5B"/>
    <w:multiLevelType w:val="hybridMultilevel"/>
    <w:tmpl w:val="7BE8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7DE2"/>
    <w:multiLevelType w:val="hybridMultilevel"/>
    <w:tmpl w:val="F1BE8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E4FE3"/>
    <w:multiLevelType w:val="hybridMultilevel"/>
    <w:tmpl w:val="76FE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26"/>
  </w:num>
  <w:num w:numId="6">
    <w:abstractNumId w:val="3"/>
  </w:num>
  <w:num w:numId="7">
    <w:abstractNumId w:val="27"/>
  </w:num>
  <w:num w:numId="8">
    <w:abstractNumId w:val="17"/>
  </w:num>
  <w:num w:numId="9">
    <w:abstractNumId w:val="13"/>
  </w:num>
  <w:num w:numId="10">
    <w:abstractNumId w:val="15"/>
  </w:num>
  <w:num w:numId="11">
    <w:abstractNumId w:val="22"/>
  </w:num>
  <w:num w:numId="12">
    <w:abstractNumId w:val="21"/>
  </w:num>
  <w:num w:numId="13">
    <w:abstractNumId w:val="2"/>
  </w:num>
  <w:num w:numId="14">
    <w:abstractNumId w:val="23"/>
  </w:num>
  <w:num w:numId="15">
    <w:abstractNumId w:val="24"/>
  </w:num>
  <w:num w:numId="16">
    <w:abstractNumId w:val="4"/>
  </w:num>
  <w:num w:numId="17">
    <w:abstractNumId w:val="16"/>
  </w:num>
  <w:num w:numId="18">
    <w:abstractNumId w:val="9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12"/>
  </w:num>
  <w:num w:numId="24">
    <w:abstractNumId w:val="7"/>
  </w:num>
  <w:num w:numId="25">
    <w:abstractNumId w:val="2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C"/>
    <w:rsid w:val="000136B9"/>
    <w:rsid w:val="000223BF"/>
    <w:rsid w:val="0004735F"/>
    <w:rsid w:val="00086895"/>
    <w:rsid w:val="000C5755"/>
    <w:rsid w:val="001270DC"/>
    <w:rsid w:val="00136401"/>
    <w:rsid w:val="00140C76"/>
    <w:rsid w:val="001E6664"/>
    <w:rsid w:val="001E724C"/>
    <w:rsid w:val="0023778B"/>
    <w:rsid w:val="002C3FAB"/>
    <w:rsid w:val="002C4E05"/>
    <w:rsid w:val="002E66FC"/>
    <w:rsid w:val="00303B1C"/>
    <w:rsid w:val="0035694F"/>
    <w:rsid w:val="003B5232"/>
    <w:rsid w:val="003B67F2"/>
    <w:rsid w:val="003E2193"/>
    <w:rsid w:val="004B7B05"/>
    <w:rsid w:val="004D44AF"/>
    <w:rsid w:val="0050084C"/>
    <w:rsid w:val="00500F09"/>
    <w:rsid w:val="00541B0F"/>
    <w:rsid w:val="0054774F"/>
    <w:rsid w:val="0055694C"/>
    <w:rsid w:val="005A1E61"/>
    <w:rsid w:val="005B69CE"/>
    <w:rsid w:val="005F679B"/>
    <w:rsid w:val="00615654"/>
    <w:rsid w:val="006930D4"/>
    <w:rsid w:val="006B233D"/>
    <w:rsid w:val="007224FB"/>
    <w:rsid w:val="00757F5E"/>
    <w:rsid w:val="00770609"/>
    <w:rsid w:val="007E27F7"/>
    <w:rsid w:val="007F7BA2"/>
    <w:rsid w:val="008249AF"/>
    <w:rsid w:val="00853B9E"/>
    <w:rsid w:val="00866C3D"/>
    <w:rsid w:val="008A1264"/>
    <w:rsid w:val="008E06E2"/>
    <w:rsid w:val="00954430"/>
    <w:rsid w:val="00966E18"/>
    <w:rsid w:val="0097453D"/>
    <w:rsid w:val="00990454"/>
    <w:rsid w:val="0099662A"/>
    <w:rsid w:val="009E325C"/>
    <w:rsid w:val="00A06C9C"/>
    <w:rsid w:val="00A0700D"/>
    <w:rsid w:val="00A10889"/>
    <w:rsid w:val="00A320B5"/>
    <w:rsid w:val="00A37FA6"/>
    <w:rsid w:val="00AD4DAB"/>
    <w:rsid w:val="00AF22A0"/>
    <w:rsid w:val="00AF6C8C"/>
    <w:rsid w:val="00B408D5"/>
    <w:rsid w:val="00B65D53"/>
    <w:rsid w:val="00B85129"/>
    <w:rsid w:val="00BB031A"/>
    <w:rsid w:val="00BB5E76"/>
    <w:rsid w:val="00BD2510"/>
    <w:rsid w:val="00C11E74"/>
    <w:rsid w:val="00C167FC"/>
    <w:rsid w:val="00C56C14"/>
    <w:rsid w:val="00C747D5"/>
    <w:rsid w:val="00C96F30"/>
    <w:rsid w:val="00D0020E"/>
    <w:rsid w:val="00D17C4E"/>
    <w:rsid w:val="00D24366"/>
    <w:rsid w:val="00D43831"/>
    <w:rsid w:val="00D667F7"/>
    <w:rsid w:val="00DC252B"/>
    <w:rsid w:val="00DD06F7"/>
    <w:rsid w:val="00DE2C2D"/>
    <w:rsid w:val="00E27D3C"/>
    <w:rsid w:val="00E33E2E"/>
    <w:rsid w:val="00E34C04"/>
    <w:rsid w:val="00ED2E61"/>
    <w:rsid w:val="00F147EB"/>
    <w:rsid w:val="00F40343"/>
    <w:rsid w:val="00F5667A"/>
    <w:rsid w:val="00F61EA8"/>
    <w:rsid w:val="00F74423"/>
    <w:rsid w:val="00FA0B0A"/>
    <w:rsid w:val="00FA53BB"/>
    <w:rsid w:val="00FC1271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FB304B"/>
  <w15:docId w15:val="{212342E3-A91C-48BD-BB48-37D3FD8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85129"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A1264"/>
    <w:pPr>
      <w:keepNext/>
      <w:ind w:right="-1186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366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366"/>
    <w:rPr>
      <w:rFonts w:ascii="Foundry Form Sans" w:hAnsi="Foundry Form Sans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8A1264"/>
    <w:rPr>
      <w:rFonts w:ascii="Foundry Form Sans" w:hAnsi="Foundry Form Sans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A1264"/>
    <w:pPr>
      <w:ind w:left="720"/>
      <w:contextualSpacing/>
    </w:pPr>
  </w:style>
  <w:style w:type="paragraph" w:styleId="Title">
    <w:name w:val="Title"/>
    <w:basedOn w:val="Normal"/>
    <w:link w:val="TitleChar"/>
    <w:qFormat/>
    <w:rsid w:val="00853B9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53B9E"/>
    <w:rPr>
      <w:rFonts w:ascii="Foundry Form Sans" w:hAnsi="Foundry Form Sans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61E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EA8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EA8"/>
    <w:rPr>
      <w:rFonts w:ascii="Foundry Form Sans" w:hAnsi="Foundry Form Sans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1E6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D6C9-6AAD-437A-A2DB-A3BFF23E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1581</Words>
  <Characters>9746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Preston</dc:creator>
  <cp:lastModifiedBy>Ditiksha Hirani</cp:lastModifiedBy>
  <cp:revision>2</cp:revision>
  <cp:lastPrinted>2019-08-16T15:15:00Z</cp:lastPrinted>
  <dcterms:created xsi:type="dcterms:W3CDTF">2019-09-04T15:49:00Z</dcterms:created>
  <dcterms:modified xsi:type="dcterms:W3CDTF">2019-09-04T15:49:00Z</dcterms:modified>
</cp:coreProperties>
</file>