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35"/>
        <w:tblW w:w="0" w:type="auto"/>
        <w:tblLook w:val="04A0" w:firstRow="1" w:lastRow="0" w:firstColumn="1" w:lastColumn="0" w:noHBand="0" w:noVBand="1"/>
      </w:tblPr>
      <w:tblGrid>
        <w:gridCol w:w="2053"/>
        <w:gridCol w:w="199"/>
        <w:gridCol w:w="2600"/>
        <w:gridCol w:w="1981"/>
        <w:gridCol w:w="2183"/>
      </w:tblGrid>
      <w:tr w:rsidR="00303B1C" w:rsidRPr="00303B1C" w:rsidTr="00887099">
        <w:tc>
          <w:tcPr>
            <w:tcW w:w="9016" w:type="dxa"/>
            <w:gridSpan w:val="5"/>
            <w:shd w:val="clear" w:color="auto" w:fill="D9D9D9" w:themeFill="background1" w:themeFillShade="D9"/>
            <w:vAlign w:val="center"/>
          </w:tcPr>
          <w:p w:rsidR="00303B1C" w:rsidRPr="00303B1C" w:rsidRDefault="00303B1C" w:rsidP="00143257">
            <w:pPr>
              <w:jc w:val="center"/>
              <w:rPr>
                <w:b/>
                <w:sz w:val="28"/>
                <w:szCs w:val="28"/>
              </w:rPr>
            </w:pPr>
          </w:p>
          <w:p w:rsidR="00303B1C" w:rsidRPr="00303B1C" w:rsidRDefault="00303B1C" w:rsidP="00143257">
            <w:pPr>
              <w:jc w:val="center"/>
              <w:rPr>
                <w:b/>
                <w:sz w:val="32"/>
                <w:szCs w:val="32"/>
              </w:rPr>
            </w:pPr>
            <w:r w:rsidRPr="00303B1C">
              <w:rPr>
                <w:b/>
                <w:sz w:val="32"/>
                <w:szCs w:val="32"/>
              </w:rPr>
              <w:t>Job Description</w:t>
            </w:r>
          </w:p>
          <w:p w:rsidR="00303B1C" w:rsidRPr="00303B1C" w:rsidRDefault="00303B1C" w:rsidP="00143257">
            <w:pPr>
              <w:jc w:val="center"/>
            </w:pPr>
          </w:p>
        </w:tc>
      </w:tr>
      <w:tr w:rsidR="00303B1C" w:rsidRPr="00303B1C" w:rsidTr="00887099">
        <w:trPr>
          <w:trHeight w:val="471"/>
        </w:trPr>
        <w:tc>
          <w:tcPr>
            <w:tcW w:w="2252" w:type="dxa"/>
            <w:gridSpan w:val="2"/>
            <w:shd w:val="clear" w:color="auto" w:fill="D9D9D9" w:themeFill="background1" w:themeFillShade="D9"/>
            <w:vAlign w:val="center"/>
          </w:tcPr>
          <w:p w:rsidR="00303B1C" w:rsidRPr="00303B1C" w:rsidRDefault="00303B1C" w:rsidP="00143257">
            <w:r w:rsidRPr="00303B1C">
              <w:rPr>
                <w:b/>
              </w:rPr>
              <w:t>Job Title:</w:t>
            </w:r>
          </w:p>
        </w:tc>
        <w:tc>
          <w:tcPr>
            <w:tcW w:w="6764" w:type="dxa"/>
            <w:gridSpan w:val="3"/>
            <w:vAlign w:val="center"/>
          </w:tcPr>
          <w:p w:rsidR="00303B1C" w:rsidRPr="00243E8E" w:rsidRDefault="00243E8E" w:rsidP="00143257">
            <w:r w:rsidRPr="00243E8E">
              <w:t>Communications</w:t>
            </w:r>
            <w:r w:rsidR="008F55D0">
              <w:t xml:space="preserve"> &amp; Engagement</w:t>
            </w:r>
            <w:r w:rsidR="002B5641">
              <w:t xml:space="preserve"> Manager</w:t>
            </w:r>
          </w:p>
        </w:tc>
      </w:tr>
      <w:tr w:rsidR="00887099" w:rsidRPr="00303B1C" w:rsidTr="00887099">
        <w:trPr>
          <w:trHeight w:val="420"/>
        </w:trPr>
        <w:tc>
          <w:tcPr>
            <w:tcW w:w="2252" w:type="dxa"/>
            <w:gridSpan w:val="2"/>
            <w:shd w:val="clear" w:color="auto" w:fill="D9D9D9" w:themeFill="background1" w:themeFillShade="D9"/>
            <w:vAlign w:val="center"/>
          </w:tcPr>
          <w:p w:rsidR="00303B1C" w:rsidRPr="00303B1C" w:rsidRDefault="00303B1C" w:rsidP="00143257">
            <w:r w:rsidRPr="00303B1C">
              <w:rPr>
                <w:b/>
              </w:rPr>
              <w:t>Grade:</w:t>
            </w:r>
          </w:p>
        </w:tc>
        <w:tc>
          <w:tcPr>
            <w:tcW w:w="2600" w:type="dxa"/>
            <w:vAlign w:val="center"/>
          </w:tcPr>
          <w:p w:rsidR="00303B1C" w:rsidRPr="00303B1C" w:rsidRDefault="00243E8E" w:rsidP="00143257">
            <w:r>
              <w:t>1</w:t>
            </w:r>
            <w:r w:rsidR="002B5641">
              <w:t xml:space="preserve">0 </w:t>
            </w:r>
          </w:p>
        </w:tc>
        <w:tc>
          <w:tcPr>
            <w:tcW w:w="1981" w:type="dxa"/>
            <w:shd w:val="clear" w:color="auto" w:fill="D9D9D9" w:themeFill="background1" w:themeFillShade="D9"/>
            <w:vAlign w:val="center"/>
          </w:tcPr>
          <w:p w:rsidR="00303B1C" w:rsidRPr="00303B1C" w:rsidRDefault="00303B1C" w:rsidP="00143257">
            <w:r w:rsidRPr="00303B1C">
              <w:rPr>
                <w:b/>
              </w:rPr>
              <w:t>Post No:</w:t>
            </w:r>
          </w:p>
        </w:tc>
        <w:tc>
          <w:tcPr>
            <w:tcW w:w="2183" w:type="dxa"/>
            <w:vAlign w:val="center"/>
          </w:tcPr>
          <w:p w:rsidR="00303B1C" w:rsidRPr="00303B1C" w:rsidRDefault="00303B1C" w:rsidP="00143257"/>
        </w:tc>
      </w:tr>
      <w:tr w:rsidR="00303B1C" w:rsidRPr="00303B1C" w:rsidTr="00887099">
        <w:trPr>
          <w:trHeight w:val="425"/>
        </w:trPr>
        <w:tc>
          <w:tcPr>
            <w:tcW w:w="2252" w:type="dxa"/>
            <w:gridSpan w:val="2"/>
            <w:shd w:val="clear" w:color="auto" w:fill="D9D9D9" w:themeFill="background1" w:themeFillShade="D9"/>
            <w:vAlign w:val="center"/>
          </w:tcPr>
          <w:p w:rsidR="00303B1C" w:rsidRPr="00303B1C" w:rsidRDefault="00303B1C" w:rsidP="00143257">
            <w:r w:rsidRPr="00303B1C">
              <w:rPr>
                <w:b/>
              </w:rPr>
              <w:t>Directorate:</w:t>
            </w:r>
          </w:p>
        </w:tc>
        <w:tc>
          <w:tcPr>
            <w:tcW w:w="6764" w:type="dxa"/>
            <w:gridSpan w:val="3"/>
            <w:vAlign w:val="center"/>
          </w:tcPr>
          <w:p w:rsidR="00303B1C" w:rsidRPr="000B24BF" w:rsidRDefault="000B24BF" w:rsidP="000B24BF">
            <w:r w:rsidRPr="000B24BF">
              <w:t>Chief Executive’s Office</w:t>
            </w:r>
          </w:p>
        </w:tc>
      </w:tr>
      <w:tr w:rsidR="00303B1C" w:rsidRPr="00303B1C" w:rsidTr="00887099">
        <w:tblPrEx>
          <w:tblLook w:val="0000" w:firstRow="0" w:lastRow="0" w:firstColumn="0" w:lastColumn="0" w:noHBand="0" w:noVBand="0"/>
        </w:tblPrEx>
        <w:trPr>
          <w:trHeight w:val="404"/>
        </w:trPr>
        <w:tc>
          <w:tcPr>
            <w:tcW w:w="9016" w:type="dxa"/>
            <w:gridSpan w:val="5"/>
            <w:tcBorders>
              <w:bottom w:val="single" w:sz="4" w:space="0" w:color="auto"/>
            </w:tcBorders>
            <w:vAlign w:val="center"/>
          </w:tcPr>
          <w:p w:rsidR="00303B1C" w:rsidRPr="00303B1C" w:rsidRDefault="00303B1C" w:rsidP="00143257">
            <w:r w:rsidRPr="00303B1C">
              <w:rPr>
                <w:b/>
              </w:rPr>
              <w:t>Job Purpose</w:t>
            </w:r>
          </w:p>
        </w:tc>
      </w:tr>
      <w:tr w:rsidR="00303B1C" w:rsidRPr="00303B1C" w:rsidTr="00887099">
        <w:tblPrEx>
          <w:tblLook w:val="0000" w:firstRow="0" w:lastRow="0" w:firstColumn="0" w:lastColumn="0" w:noHBand="0" w:noVBand="0"/>
        </w:tblPrEx>
        <w:trPr>
          <w:trHeight w:val="2829"/>
        </w:trPr>
        <w:tc>
          <w:tcPr>
            <w:tcW w:w="9016" w:type="dxa"/>
            <w:gridSpan w:val="5"/>
            <w:tcBorders>
              <w:bottom w:val="single" w:sz="4" w:space="0" w:color="auto"/>
            </w:tcBorders>
          </w:tcPr>
          <w:p w:rsidR="00314A1A" w:rsidRDefault="00314A1A" w:rsidP="007D78F6">
            <w:pPr>
              <w:spacing w:line="276" w:lineRule="auto"/>
              <w:ind w:right="26"/>
              <w:jc w:val="both"/>
            </w:pPr>
          </w:p>
          <w:p w:rsidR="00B51CE6" w:rsidRDefault="00243E8E" w:rsidP="007D78F6">
            <w:pPr>
              <w:spacing w:line="276" w:lineRule="auto"/>
              <w:ind w:right="26"/>
              <w:jc w:val="both"/>
            </w:pPr>
            <w:r>
              <w:t>The Communications</w:t>
            </w:r>
            <w:r w:rsidR="00F455B2">
              <w:t xml:space="preserve"> and Engagement Manager</w:t>
            </w:r>
            <w:r>
              <w:t xml:space="preserve"> is responsible for </w:t>
            </w:r>
            <w:r w:rsidR="00CB50E7">
              <w:t xml:space="preserve">the development, </w:t>
            </w:r>
            <w:r w:rsidR="00F455B2">
              <w:t xml:space="preserve">management </w:t>
            </w:r>
            <w:r w:rsidR="00CB50E7">
              <w:t xml:space="preserve">and delivery </w:t>
            </w:r>
            <w:r w:rsidR="00F455B2">
              <w:t xml:space="preserve">of </w:t>
            </w:r>
            <w:r>
              <w:t>integrated communications</w:t>
            </w:r>
            <w:r w:rsidR="00B51CE6">
              <w:t xml:space="preserve"> (on and </w:t>
            </w:r>
            <w:proofErr w:type="gramStart"/>
            <w:r w:rsidR="00B51CE6">
              <w:t>offline )</w:t>
            </w:r>
            <w:proofErr w:type="gramEnd"/>
            <w:r>
              <w:t xml:space="preserve"> and marketing </w:t>
            </w:r>
            <w:r w:rsidR="0013477E">
              <w:t>activities, and campaigns</w:t>
            </w:r>
            <w:r w:rsidR="00B51CE6">
              <w:t>.</w:t>
            </w:r>
          </w:p>
          <w:p w:rsidR="00B51CE6" w:rsidRDefault="00B51CE6" w:rsidP="007D78F6">
            <w:pPr>
              <w:spacing w:line="276" w:lineRule="auto"/>
              <w:ind w:right="26"/>
              <w:jc w:val="both"/>
            </w:pPr>
          </w:p>
          <w:p w:rsidR="00243E8E" w:rsidRDefault="00B51CE6" w:rsidP="007D78F6">
            <w:pPr>
              <w:spacing w:line="276" w:lineRule="auto"/>
              <w:ind w:right="26"/>
              <w:jc w:val="both"/>
            </w:pPr>
            <w:r>
              <w:t>This work takes place</w:t>
            </w:r>
            <w:r w:rsidR="0013477E">
              <w:t xml:space="preserve"> alongside the OPDC community and stakeholder engagement</w:t>
            </w:r>
            <w:r w:rsidR="00CB50E7">
              <w:t xml:space="preserve"> strategy</w:t>
            </w:r>
            <w:r>
              <w:t xml:space="preserve">. Combined these two areas of work </w:t>
            </w:r>
            <w:r w:rsidR="0013477E">
              <w:t>make-up the OPDC</w:t>
            </w:r>
            <w:r>
              <w:t>’s</w:t>
            </w:r>
            <w:r w:rsidR="0013477E">
              <w:t xml:space="preserve"> Communications and Engagement Strategy and</w:t>
            </w:r>
            <w:r>
              <w:t xml:space="preserve"> jointly</w:t>
            </w:r>
            <w:r w:rsidR="0013477E">
              <w:t xml:space="preserve"> </w:t>
            </w:r>
            <w:r w:rsidR="00243E8E">
              <w:t xml:space="preserve">promote and support the </w:t>
            </w:r>
            <w:r w:rsidR="00243E8E" w:rsidRPr="004C14EA">
              <w:t>delivery of the Mayor</w:t>
            </w:r>
            <w:r w:rsidR="0013477E">
              <w:t xml:space="preserve"> of London</w:t>
            </w:r>
            <w:r w:rsidR="00243E8E" w:rsidRPr="004C14EA">
              <w:t>’s vision for Old Oak and Park Royal</w:t>
            </w:r>
            <w:r w:rsidR="00243E8E">
              <w:t xml:space="preserve"> internally and externally</w:t>
            </w:r>
            <w:r w:rsidR="0013477E">
              <w:t xml:space="preserve">. </w:t>
            </w:r>
          </w:p>
          <w:p w:rsidR="00303B1C" w:rsidRPr="007B5EC5" w:rsidRDefault="00303B1C" w:rsidP="007B5EC5">
            <w:pPr>
              <w:spacing w:line="276" w:lineRule="auto"/>
              <w:ind w:left="360" w:right="26"/>
              <w:rPr>
                <w:strike/>
              </w:rPr>
            </w:pPr>
          </w:p>
        </w:tc>
      </w:tr>
      <w:tr w:rsidR="00303B1C" w:rsidRPr="00303B1C" w:rsidTr="00887099">
        <w:tblPrEx>
          <w:tblLook w:val="0000" w:firstRow="0" w:lastRow="0" w:firstColumn="0" w:lastColumn="0" w:noHBand="0" w:noVBand="0"/>
        </w:tblPrEx>
        <w:trPr>
          <w:trHeight w:val="570"/>
        </w:trPr>
        <w:tc>
          <w:tcPr>
            <w:tcW w:w="9016" w:type="dxa"/>
            <w:gridSpan w:val="5"/>
            <w:shd w:val="clear" w:color="auto" w:fill="D9D9D9" w:themeFill="background1" w:themeFillShade="D9"/>
            <w:vAlign w:val="center"/>
          </w:tcPr>
          <w:p w:rsidR="00303B1C" w:rsidRPr="00303B1C" w:rsidRDefault="00303B1C" w:rsidP="00143257">
            <w:r w:rsidRPr="00303B1C">
              <w:t xml:space="preserve">   </w:t>
            </w:r>
            <w:r w:rsidR="00243E8E">
              <w:rPr>
                <w:b/>
              </w:rPr>
              <w:t>Key</w:t>
            </w:r>
            <w:r w:rsidRPr="00303B1C">
              <w:rPr>
                <w:b/>
              </w:rPr>
              <w:t xml:space="preserve"> accountabilities</w:t>
            </w:r>
          </w:p>
        </w:tc>
      </w:tr>
      <w:tr w:rsidR="00303B1C" w:rsidRPr="00303B1C" w:rsidTr="00887099">
        <w:tblPrEx>
          <w:tblLook w:val="0000" w:firstRow="0" w:lastRow="0" w:firstColumn="0" w:lastColumn="0" w:noHBand="0" w:noVBand="0"/>
        </w:tblPrEx>
        <w:trPr>
          <w:trHeight w:val="2122"/>
        </w:trPr>
        <w:tc>
          <w:tcPr>
            <w:tcW w:w="9016" w:type="dxa"/>
            <w:gridSpan w:val="5"/>
            <w:tcBorders>
              <w:bottom w:val="single" w:sz="4" w:space="0" w:color="auto"/>
            </w:tcBorders>
          </w:tcPr>
          <w:p w:rsidR="0017517D" w:rsidRDefault="00810E68" w:rsidP="00314A1A">
            <w:pPr>
              <w:pStyle w:val="ListParagraph"/>
              <w:numPr>
                <w:ilvl w:val="0"/>
                <w:numId w:val="5"/>
              </w:numPr>
              <w:spacing w:line="276" w:lineRule="auto"/>
              <w:ind w:right="26"/>
            </w:pPr>
            <w:r>
              <w:t>S</w:t>
            </w:r>
            <w:r w:rsidR="0017517D">
              <w:t xml:space="preserve">upport the Head of Communications and Engagement (HCE) and deputise when necessary, covering strategic decisions and work areas on finance, budgeting, tender processes, recruitment, </w:t>
            </w:r>
            <w:r w:rsidR="00B51CE6">
              <w:t xml:space="preserve">supporting the </w:t>
            </w:r>
            <w:r w:rsidR="0017517D">
              <w:t xml:space="preserve">CEO and Chairman </w:t>
            </w:r>
            <w:r w:rsidR="00B51CE6">
              <w:t xml:space="preserve">in delivering on their </w:t>
            </w:r>
            <w:r w:rsidR="0017517D">
              <w:t>priorities and attendance at key meetings with the Senior Management Team, OPDC Board, GLA Group and Mayoral Advisors.</w:t>
            </w:r>
          </w:p>
          <w:p w:rsidR="007B5EC5" w:rsidRDefault="007B5EC5" w:rsidP="007B5EC5">
            <w:pPr>
              <w:spacing w:line="276" w:lineRule="auto"/>
              <w:ind w:right="26"/>
            </w:pPr>
          </w:p>
          <w:p w:rsidR="00A81C3D" w:rsidRDefault="00A81C3D" w:rsidP="00314A1A">
            <w:pPr>
              <w:numPr>
                <w:ilvl w:val="0"/>
                <w:numId w:val="5"/>
              </w:numPr>
              <w:spacing w:line="276" w:lineRule="auto"/>
              <w:ind w:right="26"/>
              <w:jc w:val="both"/>
            </w:pPr>
            <w:r w:rsidRPr="00A81C3D">
              <w:t xml:space="preserve">Support the </w:t>
            </w:r>
            <w:r>
              <w:t>HCE</w:t>
            </w:r>
            <w:r w:rsidRPr="00A81C3D">
              <w:t xml:space="preserve"> to </w:t>
            </w:r>
            <w:r w:rsidR="00B51CE6">
              <w:t xml:space="preserve">develop and </w:t>
            </w:r>
            <w:proofErr w:type="gramStart"/>
            <w:r w:rsidR="00B51CE6">
              <w:t xml:space="preserve">implement </w:t>
            </w:r>
            <w:r w:rsidRPr="00A81C3D">
              <w:t xml:space="preserve"> communications</w:t>
            </w:r>
            <w:proofErr w:type="gramEnd"/>
            <w:r w:rsidRPr="00A81C3D">
              <w:t xml:space="preserve"> </w:t>
            </w:r>
            <w:r>
              <w:t>and engagement</w:t>
            </w:r>
            <w:r w:rsidR="00B51CE6">
              <w:t xml:space="preserve"> activities across </w:t>
            </w:r>
            <w:r>
              <w:t xml:space="preserve">OPDC and </w:t>
            </w:r>
            <w:r w:rsidR="00B51CE6">
              <w:t xml:space="preserve">the </w:t>
            </w:r>
            <w:r w:rsidRPr="00A81C3D">
              <w:t xml:space="preserve"> Old Oak and Park Royal</w:t>
            </w:r>
            <w:r w:rsidR="00B51CE6">
              <w:t xml:space="preserve"> regeneration area. T</w:t>
            </w:r>
            <w:r>
              <w:t>o build awareness and understanding – in line with corporate processes, procedures and the OPDC brand &amp; style guidelines</w:t>
            </w:r>
            <w:r w:rsidR="00A6256D">
              <w:t xml:space="preserve"> </w:t>
            </w:r>
            <w:r w:rsidR="00A6256D" w:rsidRPr="00A6256D">
              <w:t>to maintain a strong and coherent internal and external visual identity and tone of voice</w:t>
            </w:r>
            <w:r w:rsidR="007B5EC5">
              <w:t>.</w:t>
            </w:r>
          </w:p>
          <w:p w:rsidR="007B5EC5" w:rsidRDefault="007B5EC5" w:rsidP="007B5EC5">
            <w:pPr>
              <w:pStyle w:val="ListParagraph"/>
            </w:pPr>
          </w:p>
          <w:p w:rsidR="00A81C3D" w:rsidRDefault="00A81C3D" w:rsidP="00314A1A">
            <w:pPr>
              <w:pStyle w:val="ListParagraph"/>
              <w:numPr>
                <w:ilvl w:val="0"/>
                <w:numId w:val="5"/>
              </w:numPr>
              <w:spacing w:line="276" w:lineRule="auto"/>
              <w:ind w:right="26"/>
              <w:jc w:val="both"/>
            </w:pPr>
            <w:r w:rsidRPr="00A81C3D">
              <w:t>Manage staff in the Comm</w:t>
            </w:r>
            <w:r>
              <w:t>unications and Engagement team</w:t>
            </w:r>
            <w:r w:rsidRPr="00A81C3D">
              <w:t xml:space="preserve"> and </w:t>
            </w:r>
            <w:r>
              <w:t>lead a comprehensive and detailed work programme – using expert project management skills, tools and systems</w:t>
            </w:r>
            <w:r w:rsidR="00A6256D">
              <w:t xml:space="preserve"> – </w:t>
            </w:r>
            <w:r>
              <w:t>to deliver targeted business outcomes within budget and on time</w:t>
            </w:r>
            <w:r w:rsidR="007B5EC5">
              <w:t>.</w:t>
            </w:r>
          </w:p>
          <w:p w:rsidR="007B5EC5" w:rsidRDefault="007B5EC5" w:rsidP="007B5EC5">
            <w:pPr>
              <w:pStyle w:val="ListParagraph"/>
            </w:pPr>
          </w:p>
          <w:p w:rsidR="00507142" w:rsidRDefault="0017517D" w:rsidP="00314A1A">
            <w:pPr>
              <w:pStyle w:val="ListParagraph"/>
              <w:numPr>
                <w:ilvl w:val="0"/>
                <w:numId w:val="5"/>
              </w:numPr>
              <w:spacing w:after="200" w:line="276" w:lineRule="auto"/>
              <w:jc w:val="both"/>
            </w:pPr>
            <w:r>
              <w:t xml:space="preserve">Applying </w:t>
            </w:r>
            <w:r w:rsidR="00A6256D" w:rsidRPr="003F12A0">
              <w:t xml:space="preserve">the </w:t>
            </w:r>
            <w:r>
              <w:t xml:space="preserve">appropriate </w:t>
            </w:r>
            <w:r w:rsidR="00A6256D" w:rsidRPr="003F12A0">
              <w:t xml:space="preserve">methodology </w:t>
            </w:r>
            <w:r w:rsidR="00A6256D">
              <w:t>in the delivery of work</w:t>
            </w:r>
            <w:r w:rsidR="00A6256D" w:rsidRPr="003F12A0">
              <w:t xml:space="preserve">, </w:t>
            </w:r>
            <w:r w:rsidR="00A6256D">
              <w:t>report</w:t>
            </w:r>
            <w:r w:rsidR="00A6256D" w:rsidRPr="003F12A0">
              <w:t xml:space="preserve"> issues </w:t>
            </w:r>
            <w:r w:rsidR="00507142">
              <w:t xml:space="preserve">that </w:t>
            </w:r>
            <w:r w:rsidR="00A6256D" w:rsidRPr="003F12A0">
              <w:t xml:space="preserve">are identified </w:t>
            </w:r>
            <w:r w:rsidR="00507142">
              <w:t xml:space="preserve">and </w:t>
            </w:r>
            <w:r w:rsidR="00887099">
              <w:t>solve problems using sound judgement and analysis, providing practical and pro-active communications guidance and support to</w:t>
            </w:r>
            <w:r w:rsidR="00507142">
              <w:t xml:space="preserve"> mitigate </w:t>
            </w:r>
            <w:r w:rsidR="00887099">
              <w:t>risks</w:t>
            </w:r>
            <w:r w:rsidR="00A6256D" w:rsidRPr="003F12A0">
              <w:t xml:space="preserve"> in a timel</w:t>
            </w:r>
            <w:r w:rsidR="00507142">
              <w:t>y, sensitive and diplomatic manner</w:t>
            </w:r>
            <w:r w:rsidR="007B5EC5">
              <w:t>.</w:t>
            </w:r>
          </w:p>
          <w:p w:rsidR="007B5EC5" w:rsidRDefault="007B5EC5" w:rsidP="007B5EC5">
            <w:pPr>
              <w:pStyle w:val="ListParagraph"/>
            </w:pPr>
          </w:p>
          <w:p w:rsidR="00507142" w:rsidRDefault="00507142" w:rsidP="00314A1A">
            <w:pPr>
              <w:pStyle w:val="ListParagraph"/>
              <w:numPr>
                <w:ilvl w:val="0"/>
                <w:numId w:val="5"/>
              </w:numPr>
              <w:spacing w:line="276" w:lineRule="auto"/>
              <w:ind w:right="26"/>
              <w:jc w:val="both"/>
            </w:pPr>
            <w:r w:rsidRPr="00A81C3D">
              <w:t>Support</w:t>
            </w:r>
            <w:r>
              <w:t xml:space="preserve"> the H</w:t>
            </w:r>
            <w:r w:rsidR="00810E68">
              <w:t>CE</w:t>
            </w:r>
            <w:r>
              <w:t xml:space="preserve"> in the handling of and responding to public, media and stakeholder enquiries, in the formation of Corporate ‘lines’, Q&amp;As and FAQs to take, to minimise </w:t>
            </w:r>
            <w:r>
              <w:lastRenderedPageBreak/>
              <w:t>any potential reputational damage to OPDC and the Mayor of London and as part of any crisis management work</w:t>
            </w:r>
            <w:r w:rsidR="007B5EC5">
              <w:t>.</w:t>
            </w:r>
          </w:p>
          <w:p w:rsidR="00A6256D" w:rsidRDefault="00A81C3D" w:rsidP="00314A1A">
            <w:pPr>
              <w:pStyle w:val="ListParagraph"/>
              <w:numPr>
                <w:ilvl w:val="0"/>
                <w:numId w:val="5"/>
              </w:numPr>
              <w:spacing w:line="276" w:lineRule="auto"/>
              <w:ind w:right="26"/>
              <w:jc w:val="both"/>
            </w:pPr>
            <w:r>
              <w:t xml:space="preserve">Oversight and sign-off on </w:t>
            </w:r>
            <w:r w:rsidRPr="00CF4072">
              <w:t>key messaging and communications across traditional and social media, websites and emerging technologies, taking full advantage of the opportunitie</w:t>
            </w:r>
            <w:r>
              <w:t>s offered by digital engagement</w:t>
            </w:r>
            <w:r w:rsidR="007B5EC5">
              <w:t>.</w:t>
            </w:r>
          </w:p>
          <w:p w:rsidR="007B5EC5" w:rsidRPr="000E62B6" w:rsidRDefault="007B5EC5" w:rsidP="007B5EC5">
            <w:pPr>
              <w:spacing w:line="276" w:lineRule="auto"/>
              <w:ind w:right="26"/>
              <w:jc w:val="both"/>
            </w:pPr>
          </w:p>
          <w:p w:rsidR="00A6256D" w:rsidRDefault="00A81C3D" w:rsidP="00314A1A">
            <w:pPr>
              <w:pStyle w:val="ListParagraph"/>
              <w:numPr>
                <w:ilvl w:val="0"/>
                <w:numId w:val="5"/>
              </w:numPr>
              <w:spacing w:line="276" w:lineRule="auto"/>
              <w:ind w:right="26"/>
              <w:jc w:val="both"/>
            </w:pPr>
            <w:r>
              <w:t>Lead evaluation to measure effective communication and engagement activities to ensure campaigns and channels are fit for purpose and meeting business objectives</w:t>
            </w:r>
            <w:r w:rsidR="007B5EC5">
              <w:t>.</w:t>
            </w:r>
          </w:p>
          <w:p w:rsidR="007B5EC5" w:rsidRDefault="007B5EC5" w:rsidP="007B5EC5">
            <w:pPr>
              <w:pStyle w:val="ListParagraph"/>
            </w:pPr>
          </w:p>
          <w:p w:rsidR="00A81C3D" w:rsidRDefault="00A81C3D" w:rsidP="00314A1A">
            <w:pPr>
              <w:numPr>
                <w:ilvl w:val="0"/>
                <w:numId w:val="5"/>
              </w:numPr>
              <w:spacing w:line="276" w:lineRule="auto"/>
              <w:ind w:right="26"/>
              <w:jc w:val="both"/>
            </w:pPr>
            <w:r>
              <w:t>Support H</w:t>
            </w:r>
            <w:r w:rsidR="00057A77">
              <w:t xml:space="preserve">CE </w:t>
            </w:r>
            <w:r>
              <w:t xml:space="preserve">to continue to drive media and press interest, to secure optimum coverage for Old Oak Park Royal and to build and nurture relationships with media contacts, editors, journalists and key influencers. In addition, manage proactive </w:t>
            </w:r>
            <w:proofErr w:type="spellStart"/>
            <w:r>
              <w:t>comms</w:t>
            </w:r>
            <w:proofErr w:type="spellEnd"/>
            <w:r>
              <w:t xml:space="preserve"> such as announcements in relation to the Housing Infrastructure Fund and activities required for the land assembly strategy.</w:t>
            </w:r>
          </w:p>
          <w:p w:rsidR="007B5EC5" w:rsidRDefault="007B5EC5" w:rsidP="007B5EC5">
            <w:pPr>
              <w:pStyle w:val="ListParagraph"/>
            </w:pPr>
          </w:p>
          <w:p w:rsidR="0017517D" w:rsidRDefault="00D91C04" w:rsidP="00314A1A">
            <w:pPr>
              <w:numPr>
                <w:ilvl w:val="0"/>
                <w:numId w:val="5"/>
              </w:numPr>
              <w:spacing w:line="276" w:lineRule="auto"/>
              <w:ind w:right="26"/>
              <w:jc w:val="both"/>
            </w:pPr>
            <w:r>
              <w:t>Lead on q</w:t>
            </w:r>
            <w:r w:rsidR="0017517D">
              <w:t xml:space="preserve">uality control of internal and external </w:t>
            </w:r>
            <w:proofErr w:type="spellStart"/>
            <w:r w:rsidR="0017517D">
              <w:t>comms</w:t>
            </w:r>
            <w:proofErr w:type="spellEnd"/>
            <w:r w:rsidR="0017517D">
              <w:t xml:space="preserve"> and engagement to protect the OPDC brand and identity, to ensure consistency across all work areas and in accordance with corporate processes, procedures and guidelines including the review and approval of work on behalf of the HCE as required.</w:t>
            </w:r>
          </w:p>
          <w:p w:rsidR="007B5EC5" w:rsidRDefault="007B5EC5" w:rsidP="007B5EC5">
            <w:pPr>
              <w:pStyle w:val="ListParagraph"/>
            </w:pPr>
          </w:p>
          <w:p w:rsidR="00A6256D" w:rsidRDefault="00A6256D" w:rsidP="00314A1A">
            <w:pPr>
              <w:numPr>
                <w:ilvl w:val="0"/>
                <w:numId w:val="5"/>
              </w:numPr>
              <w:spacing w:line="276" w:lineRule="auto"/>
              <w:jc w:val="both"/>
            </w:pPr>
            <w:r>
              <w:t>Work across OPDC</w:t>
            </w:r>
            <w:r w:rsidRPr="00CF4072">
              <w:t xml:space="preserve"> and with partner organisations to offer subject matter expert advice on a range of internal and external communication </w:t>
            </w:r>
            <w:r>
              <w:t>and engagement topics</w:t>
            </w:r>
            <w:r w:rsidR="00507142">
              <w:t>,</w:t>
            </w:r>
            <w:r>
              <w:t xml:space="preserve"> </w:t>
            </w:r>
            <w:r w:rsidR="00507142">
              <w:t xml:space="preserve">relating to OPDC’s role as </w:t>
            </w:r>
            <w:r w:rsidR="00507142" w:rsidRPr="005F7102">
              <w:t>London’s second Mayoral Development Corporation, a Local Planning Authority and regeneration/infrastructure/ development agenc</w:t>
            </w:r>
            <w:r w:rsidR="00507142">
              <w:t xml:space="preserve">y. A key </w:t>
            </w:r>
            <w:r>
              <w:t xml:space="preserve">focus in the next 1-2 years </w:t>
            </w:r>
            <w:r w:rsidR="00507142">
              <w:t>will be</w:t>
            </w:r>
            <w:r>
              <w:t xml:space="preserve"> </w:t>
            </w:r>
            <w:r w:rsidR="00507142">
              <w:t>OPDC’s land assembly strategy.</w:t>
            </w:r>
          </w:p>
          <w:p w:rsidR="007B5EC5" w:rsidRDefault="007B5EC5" w:rsidP="007B5EC5">
            <w:pPr>
              <w:pStyle w:val="ListParagraph"/>
            </w:pPr>
          </w:p>
          <w:p w:rsidR="00887099" w:rsidRDefault="00887099" w:rsidP="00314A1A">
            <w:pPr>
              <w:pStyle w:val="ListParagraph"/>
              <w:numPr>
                <w:ilvl w:val="0"/>
                <w:numId w:val="5"/>
              </w:numPr>
              <w:spacing w:after="200" w:line="276" w:lineRule="auto"/>
              <w:jc w:val="both"/>
            </w:pPr>
            <w:r w:rsidRPr="003F12A0">
              <w:t>To undertake duties commensurate with the grad</w:t>
            </w:r>
            <w:r>
              <w:t>e and level of this post including the provision of briefings, reports and advice to the CEO, Senior Management Team, OPDC colleagues and the GLA/Mayor’s Office as required (e.g. Mayor’s Question Time and Assembly Plenaries)</w:t>
            </w:r>
            <w:r w:rsidR="00314A1A">
              <w:t>.</w:t>
            </w:r>
          </w:p>
          <w:p w:rsidR="00C67FD9" w:rsidRDefault="00314A1A" w:rsidP="007B5EC5">
            <w:pPr>
              <w:numPr>
                <w:ilvl w:val="0"/>
                <w:numId w:val="5"/>
              </w:numPr>
            </w:pPr>
            <w:r w:rsidRPr="0087694A">
              <w:t>Realise the benefits of London’s diversity by promoting and enabling equality of opportunities and promoting the diverse needs and aspirations of London’s communities.</w:t>
            </w:r>
            <w:r w:rsidR="007B5EC5">
              <w:t xml:space="preserve"> </w:t>
            </w:r>
          </w:p>
          <w:p w:rsidR="007B5EC5" w:rsidRPr="000E62B6" w:rsidRDefault="007B5EC5" w:rsidP="007B5EC5"/>
        </w:tc>
      </w:tr>
      <w:tr w:rsidR="00303B1C" w:rsidRPr="00303B1C" w:rsidTr="00887099">
        <w:tblPrEx>
          <w:tblLook w:val="0000" w:firstRow="0" w:lastRow="0" w:firstColumn="0" w:lastColumn="0" w:noHBand="0" w:noVBand="0"/>
        </w:tblPrEx>
        <w:trPr>
          <w:trHeight w:val="552"/>
        </w:trPr>
        <w:tc>
          <w:tcPr>
            <w:tcW w:w="9016" w:type="dxa"/>
            <w:gridSpan w:val="5"/>
            <w:vAlign w:val="center"/>
          </w:tcPr>
          <w:p w:rsidR="00303B1C" w:rsidRPr="003E1DE6" w:rsidRDefault="00303B1C" w:rsidP="00143257">
            <w:pPr>
              <w:rPr>
                <w:b/>
              </w:rPr>
            </w:pPr>
            <w:r w:rsidRPr="00303B1C">
              <w:rPr>
                <w:b/>
              </w:rPr>
              <w:lastRenderedPageBreak/>
              <w:t>Key contacts:</w:t>
            </w:r>
          </w:p>
        </w:tc>
      </w:tr>
      <w:tr w:rsidR="00303B1C" w:rsidRPr="00303B1C" w:rsidTr="00887099">
        <w:tblPrEx>
          <w:tblLook w:val="0000" w:firstRow="0" w:lastRow="0" w:firstColumn="0" w:lastColumn="0" w:noHBand="0" w:noVBand="0"/>
        </w:tblPrEx>
        <w:trPr>
          <w:trHeight w:val="552"/>
        </w:trPr>
        <w:tc>
          <w:tcPr>
            <w:tcW w:w="2053" w:type="dxa"/>
            <w:vAlign w:val="center"/>
          </w:tcPr>
          <w:p w:rsidR="00303B1C" w:rsidRPr="003E1DE6" w:rsidRDefault="00303B1C" w:rsidP="00143257">
            <w:pPr>
              <w:rPr>
                <w:b/>
              </w:rPr>
            </w:pPr>
            <w:r w:rsidRPr="00303B1C">
              <w:rPr>
                <w:b/>
              </w:rPr>
              <w:t>Accountable to:</w:t>
            </w:r>
          </w:p>
        </w:tc>
        <w:tc>
          <w:tcPr>
            <w:tcW w:w="6963" w:type="dxa"/>
            <w:gridSpan w:val="4"/>
            <w:vAlign w:val="center"/>
          </w:tcPr>
          <w:p w:rsidR="00303B1C" w:rsidRPr="003E1DE6" w:rsidRDefault="005D1E2A" w:rsidP="00143257">
            <w:r>
              <w:t>Head of Communications and Engagement</w:t>
            </w:r>
          </w:p>
        </w:tc>
      </w:tr>
      <w:tr w:rsidR="00303B1C" w:rsidRPr="00303B1C" w:rsidTr="00887099">
        <w:tblPrEx>
          <w:tblLook w:val="0000" w:firstRow="0" w:lastRow="0" w:firstColumn="0" w:lastColumn="0" w:noHBand="0" w:noVBand="0"/>
        </w:tblPrEx>
        <w:trPr>
          <w:trHeight w:val="564"/>
        </w:trPr>
        <w:tc>
          <w:tcPr>
            <w:tcW w:w="2053" w:type="dxa"/>
            <w:tcBorders>
              <w:bottom w:val="single" w:sz="4" w:space="0" w:color="auto"/>
            </w:tcBorders>
            <w:vAlign w:val="center"/>
          </w:tcPr>
          <w:p w:rsidR="00303B1C" w:rsidRPr="00303B1C" w:rsidRDefault="00303B1C" w:rsidP="00143257">
            <w:r w:rsidRPr="00303B1C">
              <w:rPr>
                <w:b/>
              </w:rPr>
              <w:t>Accountable for:</w:t>
            </w:r>
          </w:p>
        </w:tc>
        <w:tc>
          <w:tcPr>
            <w:tcW w:w="6963" w:type="dxa"/>
            <w:gridSpan w:val="4"/>
            <w:tcBorders>
              <w:bottom w:val="single" w:sz="4" w:space="0" w:color="auto"/>
            </w:tcBorders>
            <w:vAlign w:val="center"/>
          </w:tcPr>
          <w:p w:rsidR="00303B1C" w:rsidRPr="00303B1C" w:rsidRDefault="003E1DE6" w:rsidP="00143257">
            <w:r w:rsidRPr="003E1DE6">
              <w:t>Senior Marketing</w:t>
            </w:r>
            <w:r>
              <w:t xml:space="preserve"> </w:t>
            </w:r>
            <w:r w:rsidR="007276F8">
              <w:t>&amp;</w:t>
            </w:r>
            <w:r>
              <w:t xml:space="preserve"> Events Officer and Senior Engagement Officer</w:t>
            </w:r>
          </w:p>
        </w:tc>
      </w:tr>
      <w:tr w:rsidR="00303B1C" w:rsidRPr="00303B1C" w:rsidTr="00887099">
        <w:tblPrEx>
          <w:tblLook w:val="0000" w:firstRow="0" w:lastRow="0" w:firstColumn="0" w:lastColumn="0" w:noHBand="0" w:noVBand="0"/>
        </w:tblPrEx>
        <w:trPr>
          <w:trHeight w:val="520"/>
        </w:trPr>
        <w:tc>
          <w:tcPr>
            <w:tcW w:w="9016" w:type="dxa"/>
            <w:gridSpan w:val="5"/>
            <w:shd w:val="clear" w:color="auto" w:fill="D9D9D9" w:themeFill="background1" w:themeFillShade="D9"/>
            <w:vAlign w:val="center"/>
          </w:tcPr>
          <w:p w:rsidR="00303B1C" w:rsidRPr="00303B1C" w:rsidRDefault="00303B1C" w:rsidP="00143257">
            <w:pPr>
              <w:ind w:left="108"/>
              <w:rPr>
                <w:rFonts w:cs="Arial"/>
                <w:b/>
                <w:color w:val="000000" w:themeColor="text1"/>
                <w:u w:val="single"/>
              </w:rPr>
            </w:pPr>
            <w:r w:rsidRPr="00303B1C">
              <w:rPr>
                <w:rFonts w:cs="Arial"/>
                <w:b/>
                <w:color w:val="000000" w:themeColor="text1"/>
              </w:rPr>
              <w:t>Technical Requirements</w:t>
            </w:r>
          </w:p>
        </w:tc>
      </w:tr>
      <w:tr w:rsidR="00314A1A" w:rsidRPr="00303B1C" w:rsidTr="007B5EC5">
        <w:tblPrEx>
          <w:tblLook w:val="0000" w:firstRow="0" w:lastRow="0" w:firstColumn="0" w:lastColumn="0" w:noHBand="0" w:noVBand="0"/>
        </w:tblPrEx>
        <w:trPr>
          <w:trHeight w:val="520"/>
        </w:trPr>
        <w:tc>
          <w:tcPr>
            <w:tcW w:w="9016" w:type="dxa"/>
            <w:gridSpan w:val="5"/>
            <w:shd w:val="clear" w:color="auto" w:fill="auto"/>
            <w:vAlign w:val="center"/>
          </w:tcPr>
          <w:p w:rsidR="00314A1A" w:rsidRDefault="00314A1A" w:rsidP="00143257">
            <w:pPr>
              <w:ind w:left="108"/>
              <w:rPr>
                <w:rFonts w:cs="Arial"/>
                <w:b/>
                <w:color w:val="000000" w:themeColor="text1"/>
              </w:rPr>
            </w:pPr>
          </w:p>
          <w:p w:rsidR="00314A1A" w:rsidRPr="0087694A" w:rsidRDefault="00314A1A" w:rsidP="007B5EC5">
            <w:pPr>
              <w:numPr>
                <w:ilvl w:val="0"/>
                <w:numId w:val="20"/>
              </w:numPr>
            </w:pPr>
            <w:r w:rsidRPr="0087694A">
              <w:t xml:space="preserve">A good understanding of complex political environments and experience </w:t>
            </w:r>
            <w:r>
              <w:t xml:space="preserve">of </w:t>
            </w:r>
            <w:r w:rsidRPr="0087694A">
              <w:t>operating effectively within them.</w:t>
            </w:r>
          </w:p>
          <w:p w:rsidR="00314A1A" w:rsidRPr="0087694A" w:rsidRDefault="00314A1A" w:rsidP="00314A1A"/>
          <w:p w:rsidR="00314A1A" w:rsidRDefault="00314A1A" w:rsidP="007B5EC5">
            <w:pPr>
              <w:pStyle w:val="ListParagraph"/>
              <w:numPr>
                <w:ilvl w:val="0"/>
                <w:numId w:val="20"/>
              </w:numPr>
              <w:jc w:val="both"/>
              <w:textAlignment w:val="baseline"/>
              <w:rPr>
                <w:rFonts w:cs="Arial"/>
              </w:rPr>
            </w:pPr>
            <w:r>
              <w:rPr>
                <w:rFonts w:cs="Arial"/>
              </w:rPr>
              <w:lastRenderedPageBreak/>
              <w:t>Excellent</w:t>
            </w:r>
            <w:r w:rsidRPr="00F17CDB">
              <w:rPr>
                <w:rFonts w:cs="Arial"/>
              </w:rPr>
              <w:t xml:space="preserve"> track record of developing and delivering a </w:t>
            </w:r>
            <w:r>
              <w:rPr>
                <w:rFonts w:cs="Arial"/>
              </w:rPr>
              <w:t>Communications and Engagement strategy with notable impact for the organisation.</w:t>
            </w:r>
          </w:p>
          <w:p w:rsidR="00314A1A" w:rsidRPr="00F17CDB" w:rsidRDefault="00314A1A" w:rsidP="00314A1A">
            <w:pPr>
              <w:pStyle w:val="ListParagraph"/>
              <w:ind w:left="0"/>
              <w:jc w:val="both"/>
              <w:textAlignment w:val="baseline"/>
              <w:rPr>
                <w:rFonts w:cs="Arial"/>
              </w:rPr>
            </w:pPr>
          </w:p>
          <w:p w:rsidR="00314A1A" w:rsidRDefault="00314A1A" w:rsidP="007B5EC5">
            <w:pPr>
              <w:pStyle w:val="ListParagraph"/>
              <w:numPr>
                <w:ilvl w:val="0"/>
                <w:numId w:val="20"/>
              </w:numPr>
              <w:jc w:val="both"/>
              <w:textAlignment w:val="baseline"/>
              <w:rPr>
                <w:rFonts w:cs="Arial"/>
              </w:rPr>
            </w:pPr>
            <w:r w:rsidRPr="00F17CDB">
              <w:rPr>
                <w:rFonts w:cs="Arial"/>
              </w:rPr>
              <w:t>Knowledge and understanding of the media and experience of using different communication approaches to promote strategic policies and priorities</w:t>
            </w:r>
            <w:r>
              <w:rPr>
                <w:rFonts w:cs="Arial"/>
              </w:rPr>
              <w:t>.</w:t>
            </w:r>
          </w:p>
          <w:p w:rsidR="00314A1A" w:rsidRDefault="00314A1A" w:rsidP="00314A1A">
            <w:pPr>
              <w:pStyle w:val="ListParagraph"/>
              <w:rPr>
                <w:rFonts w:cs="Arial"/>
              </w:rPr>
            </w:pPr>
          </w:p>
          <w:p w:rsidR="00314A1A" w:rsidRDefault="00314A1A" w:rsidP="007B5EC5">
            <w:pPr>
              <w:pStyle w:val="ListParagraph"/>
              <w:numPr>
                <w:ilvl w:val="0"/>
                <w:numId w:val="20"/>
              </w:numPr>
              <w:jc w:val="both"/>
              <w:textAlignment w:val="baseline"/>
              <w:rPr>
                <w:rFonts w:cs="Arial"/>
              </w:rPr>
            </w:pPr>
            <w:r w:rsidRPr="00A05F74">
              <w:rPr>
                <w:rFonts w:cs="Arial"/>
              </w:rPr>
              <w:t>Experience</w:t>
            </w:r>
            <w:r>
              <w:rPr>
                <w:rFonts w:cs="Arial"/>
              </w:rPr>
              <w:t xml:space="preserve"> of </w:t>
            </w:r>
            <w:r w:rsidRPr="00A05F74">
              <w:rPr>
                <w:rFonts w:cs="Arial"/>
              </w:rPr>
              <w:t>implementing a stakeholder engagement strategy</w:t>
            </w:r>
            <w:r>
              <w:rPr>
                <w:rFonts w:cs="Arial"/>
              </w:rPr>
              <w:t>.</w:t>
            </w:r>
          </w:p>
          <w:p w:rsidR="007B5EC5" w:rsidRPr="00303B1C" w:rsidRDefault="007B5EC5" w:rsidP="007B5EC5">
            <w:pPr>
              <w:rPr>
                <w:rFonts w:cs="Arial"/>
                <w:b/>
                <w:color w:val="000000" w:themeColor="text1"/>
              </w:rPr>
            </w:pPr>
            <w:bookmarkStart w:id="0" w:name="_GoBack"/>
            <w:bookmarkEnd w:id="0"/>
          </w:p>
        </w:tc>
      </w:tr>
      <w:tr w:rsidR="00303B1C" w:rsidRPr="00303B1C" w:rsidTr="00887099">
        <w:tblPrEx>
          <w:tblLook w:val="0000" w:firstRow="0" w:lastRow="0" w:firstColumn="0" w:lastColumn="0" w:noHBand="0" w:noVBand="0"/>
        </w:tblPrEx>
        <w:trPr>
          <w:trHeight w:val="510"/>
        </w:trPr>
        <w:tc>
          <w:tcPr>
            <w:tcW w:w="9016" w:type="dxa"/>
            <w:gridSpan w:val="5"/>
            <w:shd w:val="clear" w:color="auto" w:fill="D9D9D9" w:themeFill="background1" w:themeFillShade="D9"/>
            <w:vAlign w:val="center"/>
          </w:tcPr>
          <w:p w:rsidR="00303B1C" w:rsidRPr="00303B1C" w:rsidRDefault="00303B1C" w:rsidP="00143257">
            <w:pPr>
              <w:ind w:left="108"/>
              <w:rPr>
                <w:rFonts w:cs="Arial"/>
                <w:color w:val="000000"/>
              </w:rPr>
            </w:pPr>
            <w:r w:rsidRPr="00303B1C">
              <w:rPr>
                <w:rFonts w:cs="Arial"/>
                <w:b/>
                <w:color w:val="000000" w:themeColor="text1"/>
              </w:rPr>
              <w:lastRenderedPageBreak/>
              <w:t>Behavioural Competencies</w:t>
            </w:r>
          </w:p>
        </w:tc>
      </w:tr>
      <w:tr w:rsidR="00303B1C" w:rsidRPr="00303B1C" w:rsidTr="00887099">
        <w:tblPrEx>
          <w:tblLook w:val="0000" w:firstRow="0" w:lastRow="0" w:firstColumn="0" w:lastColumn="0" w:noHBand="0" w:noVBand="0"/>
        </w:tblPrEx>
        <w:trPr>
          <w:trHeight w:val="3913"/>
        </w:trPr>
        <w:tc>
          <w:tcPr>
            <w:tcW w:w="9016" w:type="dxa"/>
            <w:gridSpan w:val="5"/>
          </w:tcPr>
          <w:p w:rsidR="004A05DF" w:rsidRPr="0073770A" w:rsidRDefault="004A05DF" w:rsidP="00143257">
            <w:pPr>
              <w:ind w:right="-1186"/>
              <w:rPr>
                <w:b/>
              </w:rPr>
            </w:pPr>
            <w:r w:rsidRPr="0073770A">
              <w:rPr>
                <w:b/>
              </w:rPr>
              <w:t>Communicating and influencing</w:t>
            </w:r>
          </w:p>
          <w:p w:rsidR="006C29E1" w:rsidRDefault="004A05DF" w:rsidP="00143257">
            <w:pPr>
              <w:ind w:right="-1186"/>
              <w:rPr>
                <w:rFonts w:cs="FoundryFormSans-Book"/>
                <w:lang w:eastAsia="en-GB"/>
              </w:rPr>
            </w:pPr>
            <w:r w:rsidRPr="0073770A">
              <w:rPr>
                <w:rFonts w:cs="FoundryFormSans-Book"/>
                <w:lang w:eastAsia="en-GB"/>
              </w:rPr>
              <w:t xml:space="preserve">… is presenting information and arguments clearly and convincingly so that others see us as </w:t>
            </w:r>
          </w:p>
          <w:p w:rsidR="004A05DF" w:rsidRPr="0073770A" w:rsidRDefault="004A05DF" w:rsidP="00143257">
            <w:pPr>
              <w:ind w:right="-1186"/>
            </w:pPr>
            <w:r w:rsidRPr="0073770A">
              <w:rPr>
                <w:rFonts w:cs="FoundryFormSans-Book"/>
                <w:lang w:eastAsia="en-GB"/>
              </w:rPr>
              <w:t xml:space="preserve">credible and </w:t>
            </w:r>
            <w:proofErr w:type="gramStart"/>
            <w:r w:rsidRPr="0073770A">
              <w:rPr>
                <w:rFonts w:cs="FoundryFormSans-Book"/>
                <w:lang w:eastAsia="en-GB"/>
              </w:rPr>
              <w:t>articulate, and</w:t>
            </w:r>
            <w:proofErr w:type="gramEnd"/>
            <w:r w:rsidRPr="0073770A">
              <w:rPr>
                <w:rFonts w:cs="FoundryFormSans-Book"/>
                <w:lang w:eastAsia="en-GB"/>
              </w:rPr>
              <w:t xml:space="preserve"> engage with us.</w:t>
            </w:r>
          </w:p>
          <w:p w:rsidR="004A05DF" w:rsidRDefault="004A05DF" w:rsidP="00143257">
            <w:pPr>
              <w:ind w:right="-1186"/>
            </w:pPr>
          </w:p>
          <w:p w:rsidR="004A05DF" w:rsidRPr="0073770A" w:rsidRDefault="004A05DF" w:rsidP="00143257">
            <w:pPr>
              <w:ind w:right="-1186"/>
              <w:rPr>
                <w:u w:val="single"/>
              </w:rPr>
            </w:pPr>
            <w:r w:rsidRPr="0073770A">
              <w:rPr>
                <w:u w:val="single"/>
              </w:rPr>
              <w:t>Level 4 indicators of effective performance</w:t>
            </w:r>
          </w:p>
          <w:p w:rsidR="004A05DF" w:rsidRPr="0073770A" w:rsidRDefault="004A05DF" w:rsidP="00143257">
            <w:pPr>
              <w:numPr>
                <w:ilvl w:val="0"/>
                <w:numId w:val="9"/>
              </w:numPr>
              <w:autoSpaceDE w:val="0"/>
              <w:autoSpaceDN w:val="0"/>
              <w:adjustRightInd w:val="0"/>
              <w:rPr>
                <w:rFonts w:cs="FoundryFormSans-Book"/>
                <w:lang w:eastAsia="en-GB"/>
              </w:rPr>
            </w:pPr>
            <w:r w:rsidRPr="0073770A">
              <w:rPr>
                <w:rFonts w:cs="FoundryFormSans-Book"/>
                <w:lang w:eastAsia="en-GB"/>
              </w:rPr>
              <w:t>Articulates self with credibility and con</w:t>
            </w:r>
            <w:r w:rsidR="00420BFA">
              <w:rPr>
                <w:rFonts w:cs="FoundryFormSans-Book"/>
                <w:lang w:eastAsia="en-GB"/>
              </w:rPr>
              <w:t>viction, encouraging buy-in to C</w:t>
            </w:r>
            <w:r w:rsidRPr="0073770A">
              <w:rPr>
                <w:rFonts w:cs="FoundryFormSans-Book"/>
                <w:lang w:eastAsia="en-GB"/>
              </w:rPr>
              <w:t>orporate position</w:t>
            </w:r>
          </w:p>
          <w:p w:rsidR="004A05DF" w:rsidRPr="0073770A" w:rsidRDefault="004A05DF" w:rsidP="00143257">
            <w:pPr>
              <w:numPr>
                <w:ilvl w:val="0"/>
                <w:numId w:val="9"/>
              </w:numPr>
              <w:autoSpaceDE w:val="0"/>
              <w:autoSpaceDN w:val="0"/>
              <w:adjustRightInd w:val="0"/>
              <w:rPr>
                <w:rFonts w:cs="FoundryFormSans-Book"/>
                <w:lang w:eastAsia="en-GB"/>
              </w:rPr>
            </w:pPr>
            <w:r w:rsidRPr="0073770A">
              <w:rPr>
                <w:rFonts w:cs="FoundryFormSans-Book"/>
                <w:lang w:eastAsia="en-GB"/>
              </w:rPr>
              <w:t>Influences the thinking of other organisations, encouraging them to deliver in line with the OPDC</w:t>
            </w:r>
          </w:p>
          <w:p w:rsidR="004A05DF" w:rsidRPr="0073770A" w:rsidRDefault="004A05DF" w:rsidP="00143257">
            <w:pPr>
              <w:numPr>
                <w:ilvl w:val="0"/>
                <w:numId w:val="9"/>
              </w:numPr>
              <w:autoSpaceDE w:val="0"/>
              <w:autoSpaceDN w:val="0"/>
              <w:adjustRightInd w:val="0"/>
              <w:rPr>
                <w:rFonts w:cs="FoundryFormSans-Book"/>
                <w:lang w:eastAsia="en-GB"/>
              </w:rPr>
            </w:pPr>
            <w:r w:rsidRPr="0073770A">
              <w:rPr>
                <w:rFonts w:cs="FoundryFormSans-Book"/>
                <w:lang w:eastAsia="en-GB"/>
              </w:rPr>
              <w:t>Ensures that the organisation communicates inclusively with staff and external stakeholders</w:t>
            </w:r>
          </w:p>
          <w:p w:rsidR="004A05DF" w:rsidRPr="0073770A" w:rsidRDefault="004A05DF" w:rsidP="00143257">
            <w:pPr>
              <w:numPr>
                <w:ilvl w:val="0"/>
                <w:numId w:val="9"/>
              </w:numPr>
              <w:autoSpaceDE w:val="0"/>
              <w:autoSpaceDN w:val="0"/>
              <w:adjustRightInd w:val="0"/>
              <w:rPr>
                <w:rFonts w:cs="FoundryFormSans-Book"/>
                <w:lang w:eastAsia="en-GB"/>
              </w:rPr>
            </w:pPr>
            <w:r w:rsidRPr="0073770A">
              <w:rPr>
                <w:rFonts w:cs="FoundryFormSans-Book"/>
                <w:lang w:eastAsia="en-GB"/>
              </w:rPr>
              <w:t xml:space="preserve">Acts as a credible and convincing spokesperson and negotiator for the </w:t>
            </w:r>
            <w:r>
              <w:rPr>
                <w:rFonts w:cs="FoundryFormSans-Book"/>
                <w:lang w:eastAsia="en-GB"/>
              </w:rPr>
              <w:t>OPDC</w:t>
            </w:r>
          </w:p>
          <w:p w:rsidR="004A05DF" w:rsidRPr="0073770A" w:rsidRDefault="00420BFA" w:rsidP="00143257">
            <w:pPr>
              <w:numPr>
                <w:ilvl w:val="0"/>
                <w:numId w:val="9"/>
              </w:numPr>
              <w:ind w:right="-1186"/>
            </w:pPr>
            <w:r>
              <w:rPr>
                <w:rFonts w:cs="FoundryFormSans-Book"/>
                <w:lang w:eastAsia="en-GB"/>
              </w:rPr>
              <w:t>Instils a C</w:t>
            </w:r>
            <w:r w:rsidR="004A05DF" w:rsidRPr="0073770A">
              <w:rPr>
                <w:rFonts w:cs="FoundryFormSans-Book"/>
                <w:lang w:eastAsia="en-GB"/>
              </w:rPr>
              <w:t>orporate commitment to accessible communication</w:t>
            </w:r>
          </w:p>
          <w:p w:rsidR="004A05DF" w:rsidRDefault="004A05DF" w:rsidP="00143257">
            <w:pPr>
              <w:ind w:right="-1186"/>
              <w:rPr>
                <w:b/>
              </w:rPr>
            </w:pPr>
          </w:p>
          <w:p w:rsidR="004A05DF" w:rsidRDefault="004A05DF" w:rsidP="00143257">
            <w:pPr>
              <w:ind w:right="-1186"/>
              <w:rPr>
                <w:b/>
              </w:rPr>
            </w:pPr>
            <w:r w:rsidRPr="0073770A">
              <w:rPr>
                <w:b/>
              </w:rPr>
              <w:t>Building and managing relationships</w:t>
            </w:r>
          </w:p>
          <w:p w:rsidR="006C29E1" w:rsidRDefault="004A05DF" w:rsidP="00143257">
            <w:pPr>
              <w:ind w:right="-1186"/>
              <w:rPr>
                <w:rFonts w:cs="FoundryFormSans-Book"/>
                <w:lang w:eastAsia="en-GB"/>
              </w:rPr>
            </w:pPr>
            <w:r w:rsidRPr="0073770A">
              <w:t>…</w:t>
            </w:r>
            <w:r w:rsidRPr="0073770A">
              <w:rPr>
                <w:rFonts w:cs="FoundryFormSans-Book"/>
                <w:lang w:eastAsia="en-GB"/>
              </w:rPr>
              <w:t xml:space="preserve">… is developing rapport and working effectively with a diverse range of people, sharing </w:t>
            </w:r>
          </w:p>
          <w:p w:rsidR="004A05DF" w:rsidRDefault="004A05DF" w:rsidP="00143257">
            <w:pPr>
              <w:ind w:right="-1186"/>
              <w:rPr>
                <w:rFonts w:cs="FoundryFormSans-Book"/>
                <w:lang w:eastAsia="en-GB"/>
              </w:rPr>
            </w:pPr>
            <w:r w:rsidRPr="0073770A">
              <w:rPr>
                <w:rFonts w:cs="FoundryFormSans-Book"/>
                <w:lang w:eastAsia="en-GB"/>
              </w:rPr>
              <w:t>knowledge and skills to deliver shared goals</w:t>
            </w:r>
          </w:p>
          <w:p w:rsidR="004A05DF" w:rsidRDefault="004A05DF" w:rsidP="00143257">
            <w:pPr>
              <w:ind w:right="-1186"/>
              <w:rPr>
                <w:rFonts w:cs="FoundryFormSans-Book"/>
                <w:lang w:eastAsia="en-GB"/>
              </w:rPr>
            </w:pPr>
          </w:p>
          <w:p w:rsidR="004A05DF" w:rsidRPr="0073770A" w:rsidRDefault="004A05DF" w:rsidP="00143257">
            <w:pPr>
              <w:ind w:right="-1186"/>
              <w:rPr>
                <w:u w:val="single"/>
              </w:rPr>
            </w:pPr>
            <w:r>
              <w:rPr>
                <w:rFonts w:cs="FoundryFormSans-Book"/>
                <w:u w:val="single"/>
                <w:lang w:eastAsia="en-GB"/>
              </w:rPr>
              <w:t>Level 4 indicators of effective performance</w:t>
            </w:r>
          </w:p>
          <w:p w:rsidR="004A05DF" w:rsidRPr="0073770A" w:rsidRDefault="004A05DF" w:rsidP="00143257">
            <w:pPr>
              <w:numPr>
                <w:ilvl w:val="0"/>
                <w:numId w:val="10"/>
              </w:numPr>
              <w:autoSpaceDE w:val="0"/>
              <w:autoSpaceDN w:val="0"/>
              <w:adjustRightInd w:val="0"/>
              <w:rPr>
                <w:rFonts w:cs="FoundryFormSans-Book"/>
                <w:lang w:eastAsia="en-GB"/>
              </w:rPr>
            </w:pPr>
            <w:r w:rsidRPr="0073770A">
              <w:rPr>
                <w:rFonts w:cs="FoundryFormSans-Book"/>
                <w:lang w:eastAsia="en-GB"/>
              </w:rPr>
              <w:t xml:space="preserve">Identifies and engages a diverse range of influential contacts within </w:t>
            </w:r>
            <w:r>
              <w:rPr>
                <w:rFonts w:cs="FoundryFormSans-Book"/>
                <w:lang w:eastAsia="en-GB"/>
              </w:rPr>
              <w:t>stakeholder and c</w:t>
            </w:r>
            <w:r w:rsidRPr="0073770A">
              <w:rPr>
                <w:rFonts w:cs="FoundryFormSans-Book"/>
                <w:lang w:eastAsia="en-GB"/>
              </w:rPr>
              <w:t>ommunity groups, and partner organisations</w:t>
            </w:r>
          </w:p>
          <w:p w:rsidR="004A05DF" w:rsidRPr="0073770A" w:rsidRDefault="004A05DF" w:rsidP="00143257">
            <w:pPr>
              <w:numPr>
                <w:ilvl w:val="0"/>
                <w:numId w:val="10"/>
              </w:numPr>
              <w:autoSpaceDE w:val="0"/>
              <w:autoSpaceDN w:val="0"/>
              <w:adjustRightInd w:val="0"/>
              <w:rPr>
                <w:rFonts w:cs="FoundryFormSans-Book"/>
                <w:lang w:eastAsia="en-GB"/>
              </w:rPr>
            </w:pPr>
            <w:r w:rsidRPr="0073770A">
              <w:rPr>
                <w:rFonts w:cs="FoundryFormSans-Book"/>
                <w:lang w:eastAsia="en-GB"/>
              </w:rPr>
              <w:t>Builds alliances to establish mutually beneficial working arrangements, openly sharing knowledge and insights</w:t>
            </w:r>
          </w:p>
          <w:p w:rsidR="004A05DF" w:rsidRPr="0073770A" w:rsidRDefault="004A05DF" w:rsidP="00143257">
            <w:pPr>
              <w:numPr>
                <w:ilvl w:val="0"/>
                <w:numId w:val="10"/>
              </w:numPr>
              <w:autoSpaceDE w:val="0"/>
              <w:autoSpaceDN w:val="0"/>
              <w:adjustRightInd w:val="0"/>
              <w:rPr>
                <w:rFonts w:cs="FoundryFormSans-Book"/>
                <w:lang w:eastAsia="en-GB"/>
              </w:rPr>
            </w:pPr>
            <w:r w:rsidRPr="0073770A">
              <w:rPr>
                <w:rFonts w:cs="FoundryFormSans-Book"/>
                <w:lang w:eastAsia="en-GB"/>
              </w:rPr>
              <w:t>Actively challenges and addresses ‘silo attitudes’ to encourage effective relationship building inside and outside the OPDC</w:t>
            </w:r>
          </w:p>
          <w:p w:rsidR="004A05DF" w:rsidRPr="0073770A" w:rsidRDefault="004A05DF" w:rsidP="00143257">
            <w:pPr>
              <w:numPr>
                <w:ilvl w:val="0"/>
                <w:numId w:val="10"/>
              </w:numPr>
              <w:autoSpaceDE w:val="0"/>
              <w:autoSpaceDN w:val="0"/>
              <w:adjustRightInd w:val="0"/>
              <w:rPr>
                <w:rFonts w:cs="FoundryFormSans-Book"/>
                <w:lang w:eastAsia="en-GB"/>
              </w:rPr>
            </w:pPr>
            <w:r w:rsidRPr="0073770A">
              <w:rPr>
                <w:rFonts w:cs="FoundryFormSans-Book"/>
                <w:lang w:eastAsia="en-GB"/>
              </w:rPr>
              <w:t>Understands the complexities of political dynamics and uses this to manage relationships and resolve conflict effectively</w:t>
            </w:r>
          </w:p>
          <w:p w:rsidR="004A05DF" w:rsidRPr="005D1E2A" w:rsidRDefault="004A05DF" w:rsidP="00143257">
            <w:pPr>
              <w:numPr>
                <w:ilvl w:val="0"/>
                <w:numId w:val="10"/>
              </w:numPr>
              <w:ind w:right="-1186"/>
            </w:pPr>
            <w:r w:rsidRPr="0073770A">
              <w:rPr>
                <w:rFonts w:cs="FoundryFormSans-Book"/>
                <w:lang w:eastAsia="en-GB"/>
              </w:rPr>
              <w:t>Identifies clear win-win situations with external partners</w:t>
            </w:r>
          </w:p>
          <w:p w:rsidR="002F58C4" w:rsidRDefault="002F58C4" w:rsidP="00143257">
            <w:pPr>
              <w:ind w:right="-1186"/>
              <w:rPr>
                <w:b/>
              </w:rPr>
            </w:pPr>
          </w:p>
          <w:p w:rsidR="004A05DF" w:rsidRPr="0073770A" w:rsidRDefault="004A05DF" w:rsidP="00143257">
            <w:pPr>
              <w:ind w:right="-1186"/>
              <w:rPr>
                <w:b/>
              </w:rPr>
            </w:pPr>
            <w:r w:rsidRPr="0073770A">
              <w:rPr>
                <w:b/>
              </w:rPr>
              <w:t>Decision Making</w:t>
            </w:r>
          </w:p>
          <w:p w:rsidR="006C29E1" w:rsidRDefault="004A05DF" w:rsidP="00143257">
            <w:pPr>
              <w:ind w:right="-1186"/>
              <w:rPr>
                <w:rFonts w:cs="FoundryFormSans-Book"/>
                <w:lang w:eastAsia="en-GB"/>
              </w:rPr>
            </w:pPr>
            <w:r w:rsidRPr="0073770A">
              <w:t>…</w:t>
            </w:r>
            <w:r w:rsidRPr="0073770A">
              <w:rPr>
                <w:rFonts w:cs="FoundryFormSans-Book"/>
                <w:lang w:eastAsia="en-GB"/>
              </w:rPr>
              <w:t xml:space="preserve">… is forming sound, evidence-based judgements, making choices, assessing risks to delivery, </w:t>
            </w:r>
          </w:p>
          <w:p w:rsidR="004A05DF" w:rsidRDefault="004A05DF" w:rsidP="00143257">
            <w:pPr>
              <w:ind w:right="-1186"/>
              <w:rPr>
                <w:rFonts w:cs="FoundryFormSans-Book"/>
                <w:lang w:eastAsia="en-GB"/>
              </w:rPr>
            </w:pPr>
            <w:r w:rsidRPr="0073770A">
              <w:rPr>
                <w:rFonts w:cs="FoundryFormSans-Book"/>
                <w:lang w:eastAsia="en-GB"/>
              </w:rPr>
              <w:t>and taking accountability for results.</w:t>
            </w:r>
          </w:p>
          <w:p w:rsidR="004A05DF" w:rsidRDefault="004A05DF" w:rsidP="00143257">
            <w:pPr>
              <w:ind w:right="-1186"/>
              <w:rPr>
                <w:rFonts w:cs="FoundryFormSans-Book"/>
                <w:lang w:eastAsia="en-GB"/>
              </w:rPr>
            </w:pPr>
          </w:p>
          <w:p w:rsidR="004A05DF" w:rsidRPr="0073770A" w:rsidRDefault="004A05DF" w:rsidP="00143257">
            <w:pPr>
              <w:ind w:right="-1186"/>
              <w:rPr>
                <w:u w:val="single"/>
              </w:rPr>
            </w:pPr>
            <w:r>
              <w:rPr>
                <w:rFonts w:cs="FoundryFormSans-Book"/>
                <w:u w:val="single"/>
                <w:lang w:eastAsia="en-GB"/>
              </w:rPr>
              <w:t>Level 3 indicators of effective performance</w:t>
            </w:r>
          </w:p>
          <w:p w:rsidR="004A05DF" w:rsidRPr="0073770A" w:rsidRDefault="004A05DF" w:rsidP="00143257">
            <w:pPr>
              <w:numPr>
                <w:ilvl w:val="0"/>
                <w:numId w:val="10"/>
              </w:numPr>
              <w:autoSpaceDE w:val="0"/>
              <w:autoSpaceDN w:val="0"/>
              <w:adjustRightInd w:val="0"/>
              <w:rPr>
                <w:rFonts w:cs="FoundryFormSans-Book"/>
                <w:lang w:eastAsia="en-GB"/>
              </w:rPr>
            </w:pPr>
            <w:r w:rsidRPr="0073770A">
              <w:rPr>
                <w:rFonts w:cs="FoundryFormSans-Book"/>
                <w:lang w:eastAsia="en-GB"/>
              </w:rPr>
              <w:t xml:space="preserve">Makes sound decisions quickly on behalf of the </w:t>
            </w:r>
            <w:r>
              <w:rPr>
                <w:rFonts w:cs="FoundryFormSans-Book"/>
                <w:lang w:eastAsia="en-GB"/>
              </w:rPr>
              <w:t>OPDC</w:t>
            </w:r>
            <w:r w:rsidRPr="0073770A">
              <w:rPr>
                <w:rFonts w:cs="FoundryFormSans-Book"/>
                <w:lang w:eastAsia="en-GB"/>
              </w:rPr>
              <w:t xml:space="preserve"> when a situation</w:t>
            </w:r>
            <w:r>
              <w:rPr>
                <w:rFonts w:cs="FoundryFormSans-Book"/>
                <w:lang w:eastAsia="en-GB"/>
              </w:rPr>
              <w:t xml:space="preserve"> </w:t>
            </w:r>
            <w:r w:rsidRPr="0073770A">
              <w:rPr>
                <w:rFonts w:cs="FoundryFormSans-Book"/>
                <w:lang w:eastAsia="en-GB"/>
              </w:rPr>
              <w:t>requires intervention</w:t>
            </w:r>
          </w:p>
          <w:p w:rsidR="004A05DF" w:rsidRPr="0073770A" w:rsidRDefault="004A05DF" w:rsidP="00143257">
            <w:pPr>
              <w:numPr>
                <w:ilvl w:val="0"/>
                <w:numId w:val="10"/>
              </w:numPr>
              <w:autoSpaceDE w:val="0"/>
              <w:autoSpaceDN w:val="0"/>
              <w:adjustRightInd w:val="0"/>
              <w:rPr>
                <w:rFonts w:cs="FoundryFormSans-Book"/>
                <w:lang w:eastAsia="en-GB"/>
              </w:rPr>
            </w:pPr>
            <w:r w:rsidRPr="0073770A">
              <w:rPr>
                <w:rFonts w:cs="FoundryFormSans-Book"/>
                <w:lang w:eastAsia="en-GB"/>
              </w:rPr>
              <w:t>Takes responsibility for team decisions, providing rationale when those</w:t>
            </w:r>
            <w:r>
              <w:rPr>
                <w:rFonts w:cs="FoundryFormSans-Book"/>
                <w:lang w:eastAsia="en-GB"/>
              </w:rPr>
              <w:t xml:space="preserve"> </w:t>
            </w:r>
            <w:r w:rsidRPr="0073770A">
              <w:rPr>
                <w:rFonts w:cs="FoundryFormSans-Book"/>
                <w:lang w:eastAsia="en-GB"/>
              </w:rPr>
              <w:t>decisions are questioned</w:t>
            </w:r>
          </w:p>
          <w:p w:rsidR="004A05DF" w:rsidRPr="0073770A" w:rsidRDefault="004A05DF" w:rsidP="00143257">
            <w:pPr>
              <w:numPr>
                <w:ilvl w:val="0"/>
                <w:numId w:val="10"/>
              </w:numPr>
              <w:autoSpaceDE w:val="0"/>
              <w:autoSpaceDN w:val="0"/>
              <w:adjustRightInd w:val="0"/>
              <w:rPr>
                <w:rFonts w:cs="FoundryFormSans-Book"/>
                <w:lang w:eastAsia="en-GB"/>
              </w:rPr>
            </w:pPr>
            <w:r w:rsidRPr="0073770A">
              <w:rPr>
                <w:rFonts w:cs="FoundryFormSans-Book"/>
                <w:lang w:eastAsia="en-GB"/>
              </w:rPr>
              <w:t>Involves senior stakeholders early in decisions that impact them</w:t>
            </w:r>
          </w:p>
          <w:p w:rsidR="004A05DF" w:rsidRPr="0073770A" w:rsidRDefault="004A05DF" w:rsidP="00143257">
            <w:pPr>
              <w:numPr>
                <w:ilvl w:val="0"/>
                <w:numId w:val="10"/>
              </w:numPr>
              <w:autoSpaceDE w:val="0"/>
              <w:autoSpaceDN w:val="0"/>
              <w:adjustRightInd w:val="0"/>
              <w:rPr>
                <w:rFonts w:cs="FoundryFormSans-Book"/>
                <w:lang w:eastAsia="en-GB"/>
              </w:rPr>
            </w:pPr>
            <w:r w:rsidRPr="0073770A">
              <w:rPr>
                <w:rFonts w:cs="FoundryFormSans-Book"/>
                <w:lang w:eastAsia="en-GB"/>
              </w:rPr>
              <w:lastRenderedPageBreak/>
              <w:t>Analyses organisational risks associated with decisions, including those</w:t>
            </w:r>
            <w:r>
              <w:rPr>
                <w:rFonts w:cs="FoundryFormSans-Book"/>
                <w:lang w:eastAsia="en-GB"/>
              </w:rPr>
              <w:t xml:space="preserve"> </w:t>
            </w:r>
            <w:r w:rsidRPr="0073770A">
              <w:rPr>
                <w:rFonts w:cs="FoundryFormSans-Book"/>
                <w:lang w:eastAsia="en-GB"/>
              </w:rPr>
              <w:t>with long term impacts, before committing to action</w:t>
            </w:r>
          </w:p>
          <w:p w:rsidR="004A05DF" w:rsidRPr="0073770A" w:rsidRDefault="004A05DF" w:rsidP="00143257">
            <w:pPr>
              <w:numPr>
                <w:ilvl w:val="0"/>
                <w:numId w:val="10"/>
              </w:numPr>
              <w:autoSpaceDE w:val="0"/>
              <w:autoSpaceDN w:val="0"/>
              <w:adjustRightInd w:val="0"/>
              <w:rPr>
                <w:rFonts w:cs="FoundryFormSans-Book"/>
                <w:lang w:eastAsia="en-GB"/>
              </w:rPr>
            </w:pPr>
            <w:r w:rsidRPr="0073770A">
              <w:rPr>
                <w:rFonts w:cs="FoundryFormSans-Book"/>
                <w:lang w:eastAsia="en-GB"/>
              </w:rPr>
              <w:t>Encourages others in the team to make decisions in their own area of</w:t>
            </w:r>
            <w:r>
              <w:rPr>
                <w:rFonts w:cs="FoundryFormSans-Book"/>
                <w:lang w:eastAsia="en-GB"/>
              </w:rPr>
              <w:t xml:space="preserve"> </w:t>
            </w:r>
            <w:r w:rsidRPr="0073770A">
              <w:rPr>
                <w:rFonts w:cs="FoundryFormSans-Book"/>
                <w:lang w:eastAsia="en-GB"/>
              </w:rPr>
              <w:t>expertise, take appropriate risks and learn from experience</w:t>
            </w:r>
          </w:p>
          <w:p w:rsidR="004A05DF" w:rsidRDefault="004A05DF" w:rsidP="00143257">
            <w:pPr>
              <w:ind w:right="-1186"/>
              <w:rPr>
                <w:b/>
              </w:rPr>
            </w:pPr>
          </w:p>
          <w:p w:rsidR="004A05DF" w:rsidRPr="0073770A" w:rsidRDefault="004A05DF" w:rsidP="00143257">
            <w:pPr>
              <w:ind w:right="-1186"/>
              <w:rPr>
                <w:b/>
              </w:rPr>
            </w:pPr>
            <w:r w:rsidRPr="0073770A">
              <w:rPr>
                <w:b/>
              </w:rPr>
              <w:t>Planning and Organising</w:t>
            </w:r>
          </w:p>
          <w:p w:rsidR="006C29E1" w:rsidRDefault="004A05DF" w:rsidP="00143257">
            <w:pPr>
              <w:ind w:right="-1186"/>
              <w:rPr>
                <w:rFonts w:cs="FoundryFormSans-Book"/>
                <w:lang w:eastAsia="en-GB"/>
              </w:rPr>
            </w:pPr>
            <w:r w:rsidRPr="0073770A">
              <w:t>…</w:t>
            </w:r>
            <w:r w:rsidRPr="0073770A">
              <w:rPr>
                <w:rFonts w:cs="FoundryFormSans-Book"/>
                <w:lang w:eastAsia="en-GB"/>
              </w:rPr>
              <w:t xml:space="preserve">… is thinking ahead, managing time, priorities and risk, and developing structured and </w:t>
            </w:r>
          </w:p>
          <w:p w:rsidR="004A05DF" w:rsidRPr="0073770A" w:rsidRDefault="004A05DF" w:rsidP="00143257">
            <w:pPr>
              <w:ind w:right="-1186"/>
            </w:pPr>
            <w:r w:rsidRPr="0073770A">
              <w:rPr>
                <w:rFonts w:cs="FoundryFormSans-Book"/>
                <w:lang w:eastAsia="en-GB"/>
              </w:rPr>
              <w:t>efficient approaches to deliver work on time and to a high standard.</w:t>
            </w:r>
          </w:p>
          <w:p w:rsidR="004A05DF" w:rsidRDefault="004A05DF" w:rsidP="00143257">
            <w:pPr>
              <w:ind w:right="-1186"/>
            </w:pPr>
          </w:p>
          <w:p w:rsidR="004A05DF" w:rsidRDefault="004A05DF" w:rsidP="00143257">
            <w:pPr>
              <w:ind w:right="-1186"/>
              <w:rPr>
                <w:u w:val="single"/>
              </w:rPr>
            </w:pPr>
            <w:r>
              <w:rPr>
                <w:u w:val="single"/>
              </w:rPr>
              <w:t>Level 3 indicators of effective performance</w:t>
            </w:r>
          </w:p>
          <w:p w:rsidR="004A05DF" w:rsidRPr="0073770A" w:rsidRDefault="004A05DF" w:rsidP="00143257">
            <w:pPr>
              <w:numPr>
                <w:ilvl w:val="0"/>
                <w:numId w:val="11"/>
              </w:numPr>
              <w:autoSpaceDE w:val="0"/>
              <w:autoSpaceDN w:val="0"/>
              <w:adjustRightInd w:val="0"/>
              <w:rPr>
                <w:rFonts w:cs="FoundryFormSans-Book"/>
                <w:lang w:eastAsia="en-GB"/>
              </w:rPr>
            </w:pPr>
            <w:r w:rsidRPr="0073770A">
              <w:rPr>
                <w:rFonts w:cs="FoundryFormSans-Book"/>
                <w:lang w:eastAsia="en-GB"/>
              </w:rPr>
              <w:t>Monitors allocation of resources, anticipating changing requirements that</w:t>
            </w:r>
            <w:r>
              <w:rPr>
                <w:rFonts w:cs="FoundryFormSans-Book"/>
                <w:lang w:eastAsia="en-GB"/>
              </w:rPr>
              <w:t xml:space="preserve"> </w:t>
            </w:r>
            <w:r w:rsidRPr="0073770A">
              <w:rPr>
                <w:rFonts w:cs="FoundryFormSans-Book"/>
                <w:lang w:eastAsia="en-GB"/>
              </w:rPr>
              <w:t>may impact work delivery</w:t>
            </w:r>
          </w:p>
          <w:p w:rsidR="004A05DF" w:rsidRPr="0073770A" w:rsidRDefault="004A05DF" w:rsidP="00143257">
            <w:pPr>
              <w:numPr>
                <w:ilvl w:val="0"/>
                <w:numId w:val="11"/>
              </w:numPr>
              <w:autoSpaceDE w:val="0"/>
              <w:autoSpaceDN w:val="0"/>
              <w:adjustRightInd w:val="0"/>
              <w:rPr>
                <w:rFonts w:cs="FoundryFormSans-Book"/>
                <w:lang w:eastAsia="en-GB"/>
              </w:rPr>
            </w:pPr>
            <w:r w:rsidRPr="0073770A">
              <w:rPr>
                <w:rFonts w:cs="FoundryFormSans-Book"/>
                <w:lang w:eastAsia="en-GB"/>
              </w:rPr>
              <w:t>Ensures evaluation processes are in place to measure project benefits</w:t>
            </w:r>
          </w:p>
          <w:p w:rsidR="004A05DF" w:rsidRPr="0073770A" w:rsidRDefault="004A05DF" w:rsidP="00143257">
            <w:pPr>
              <w:numPr>
                <w:ilvl w:val="0"/>
                <w:numId w:val="11"/>
              </w:numPr>
              <w:autoSpaceDE w:val="0"/>
              <w:autoSpaceDN w:val="0"/>
              <w:adjustRightInd w:val="0"/>
              <w:rPr>
                <w:rFonts w:cs="FoundryFormSans-Book"/>
                <w:lang w:eastAsia="en-GB"/>
              </w:rPr>
            </w:pPr>
            <w:r w:rsidRPr="0073770A">
              <w:rPr>
                <w:rFonts w:cs="FoundryFormSans-Book"/>
                <w:lang w:eastAsia="en-GB"/>
              </w:rPr>
              <w:t>Gains buy-in and commitment to project delivery from diverse</w:t>
            </w:r>
            <w:r>
              <w:rPr>
                <w:rFonts w:cs="FoundryFormSans-Book"/>
                <w:lang w:eastAsia="en-GB"/>
              </w:rPr>
              <w:t xml:space="preserve"> </w:t>
            </w:r>
            <w:r w:rsidRPr="0073770A">
              <w:rPr>
                <w:rFonts w:cs="FoundryFormSans-Book"/>
                <w:lang w:eastAsia="en-GB"/>
              </w:rPr>
              <w:t>stakeholders</w:t>
            </w:r>
          </w:p>
          <w:p w:rsidR="004A05DF" w:rsidRPr="0073770A" w:rsidRDefault="004A05DF" w:rsidP="00143257">
            <w:pPr>
              <w:numPr>
                <w:ilvl w:val="0"/>
                <w:numId w:val="11"/>
              </w:numPr>
              <w:autoSpaceDE w:val="0"/>
              <w:autoSpaceDN w:val="0"/>
              <w:adjustRightInd w:val="0"/>
              <w:rPr>
                <w:rFonts w:cs="FoundryFormSans-Book"/>
                <w:lang w:eastAsia="en-GB"/>
              </w:rPr>
            </w:pPr>
            <w:r w:rsidRPr="0073770A">
              <w:rPr>
                <w:rFonts w:cs="FoundryFormSans-Book"/>
                <w:lang w:eastAsia="en-GB"/>
              </w:rPr>
              <w:t>Implements quality measures to ensure directorate output is of a high</w:t>
            </w:r>
            <w:r>
              <w:rPr>
                <w:rFonts w:cs="FoundryFormSans-Book"/>
                <w:lang w:eastAsia="en-GB"/>
              </w:rPr>
              <w:t xml:space="preserve"> </w:t>
            </w:r>
            <w:r w:rsidRPr="0073770A">
              <w:rPr>
                <w:rFonts w:cs="FoundryFormSans-Book"/>
                <w:lang w:eastAsia="en-GB"/>
              </w:rPr>
              <w:t>standard</w:t>
            </w:r>
          </w:p>
          <w:p w:rsidR="004A05DF" w:rsidRPr="0073770A" w:rsidRDefault="004A05DF" w:rsidP="00143257">
            <w:pPr>
              <w:numPr>
                <w:ilvl w:val="0"/>
                <w:numId w:val="11"/>
              </w:numPr>
              <w:ind w:right="-1186"/>
            </w:pPr>
            <w:r w:rsidRPr="0073770A">
              <w:rPr>
                <w:rFonts w:cs="FoundryFormSans-Book"/>
                <w:lang w:eastAsia="en-GB"/>
              </w:rPr>
              <w:t>Translates political vision into action plans and deliverables</w:t>
            </w:r>
          </w:p>
          <w:p w:rsidR="004A05DF" w:rsidRPr="0073770A" w:rsidRDefault="004A05DF" w:rsidP="00143257">
            <w:pPr>
              <w:ind w:right="-1186"/>
            </w:pPr>
          </w:p>
          <w:p w:rsidR="004A05DF" w:rsidRPr="0073770A" w:rsidRDefault="004A05DF" w:rsidP="00143257">
            <w:pPr>
              <w:ind w:right="-1186"/>
              <w:rPr>
                <w:b/>
              </w:rPr>
            </w:pPr>
            <w:r w:rsidRPr="0073770A">
              <w:rPr>
                <w:b/>
              </w:rPr>
              <w:t>Organisational awareness</w:t>
            </w:r>
          </w:p>
          <w:p w:rsidR="006C29E1" w:rsidRDefault="004A05DF" w:rsidP="00143257">
            <w:pPr>
              <w:ind w:right="-1186"/>
              <w:rPr>
                <w:rFonts w:cs="FoundryFormSans-Book"/>
                <w:lang w:eastAsia="en-GB"/>
              </w:rPr>
            </w:pPr>
            <w:r w:rsidRPr="00945566">
              <w:rPr>
                <w:rFonts w:cs="FoundryFormSans-Book"/>
                <w:lang w:eastAsia="en-GB"/>
              </w:rPr>
              <w:t xml:space="preserve">… is understanding and being sensitive to organisational dynamics, culture and politics across </w:t>
            </w:r>
          </w:p>
          <w:p w:rsidR="004A05DF" w:rsidRDefault="004A05DF" w:rsidP="00143257">
            <w:pPr>
              <w:ind w:right="-1186"/>
              <w:rPr>
                <w:rFonts w:cs="FoundryFormSans-Book"/>
                <w:lang w:eastAsia="en-GB"/>
              </w:rPr>
            </w:pPr>
            <w:r w:rsidRPr="00945566">
              <w:rPr>
                <w:rFonts w:cs="FoundryFormSans-Book"/>
                <w:lang w:eastAsia="en-GB"/>
              </w:rPr>
              <w:t xml:space="preserve">and beyond the </w:t>
            </w:r>
            <w:r>
              <w:rPr>
                <w:rFonts w:cs="FoundryFormSans-Book"/>
                <w:lang w:eastAsia="en-GB"/>
              </w:rPr>
              <w:t xml:space="preserve">OPDC </w:t>
            </w:r>
            <w:r w:rsidRPr="00945566">
              <w:rPr>
                <w:rFonts w:cs="FoundryFormSans-Book"/>
                <w:lang w:eastAsia="en-GB"/>
              </w:rPr>
              <w:t>and shaping our approach accordingly.</w:t>
            </w:r>
          </w:p>
          <w:p w:rsidR="004A05DF" w:rsidRDefault="004A05DF" w:rsidP="00143257">
            <w:pPr>
              <w:ind w:right="-1186"/>
              <w:rPr>
                <w:rFonts w:cs="FoundryFormSans-Book"/>
                <w:lang w:eastAsia="en-GB"/>
              </w:rPr>
            </w:pPr>
          </w:p>
          <w:p w:rsidR="004A05DF" w:rsidRPr="00945566" w:rsidRDefault="004A05DF" w:rsidP="00143257">
            <w:pPr>
              <w:ind w:right="-1186"/>
              <w:rPr>
                <w:rFonts w:cs="FoundryFormSans-Book"/>
                <w:u w:val="single"/>
                <w:lang w:eastAsia="en-GB"/>
              </w:rPr>
            </w:pPr>
            <w:r>
              <w:rPr>
                <w:rFonts w:cs="FoundryFormSans-Book"/>
                <w:u w:val="single"/>
                <w:lang w:eastAsia="en-GB"/>
              </w:rPr>
              <w:t>Level 3 indicators of effective performance</w:t>
            </w:r>
          </w:p>
          <w:p w:rsidR="004A05DF" w:rsidRPr="00945566" w:rsidRDefault="004A05DF" w:rsidP="00143257">
            <w:pPr>
              <w:numPr>
                <w:ilvl w:val="0"/>
                <w:numId w:val="13"/>
              </w:numPr>
              <w:autoSpaceDE w:val="0"/>
              <w:autoSpaceDN w:val="0"/>
              <w:adjustRightInd w:val="0"/>
              <w:rPr>
                <w:rFonts w:cs="FoundryFormSans-Book"/>
                <w:lang w:eastAsia="en-GB"/>
              </w:rPr>
            </w:pPr>
            <w:r w:rsidRPr="00945566">
              <w:rPr>
                <w:rFonts w:cs="FoundryFormSans-Book"/>
                <w:lang w:eastAsia="en-GB"/>
              </w:rPr>
              <w:t xml:space="preserve">Uses understanding of differences between the </w:t>
            </w:r>
            <w:r>
              <w:rPr>
                <w:rFonts w:cs="FoundryFormSans-Book"/>
                <w:lang w:eastAsia="en-GB"/>
              </w:rPr>
              <w:t>OPDC</w:t>
            </w:r>
            <w:r w:rsidRPr="00945566">
              <w:rPr>
                <w:rFonts w:cs="FoundryFormSans-Book"/>
                <w:lang w:eastAsia="en-GB"/>
              </w:rPr>
              <w:t xml:space="preserve"> and its partners to improve working relationships</w:t>
            </w:r>
          </w:p>
          <w:p w:rsidR="004A05DF" w:rsidRPr="00945566" w:rsidRDefault="004A05DF" w:rsidP="00143257">
            <w:pPr>
              <w:numPr>
                <w:ilvl w:val="0"/>
                <w:numId w:val="13"/>
              </w:numPr>
              <w:autoSpaceDE w:val="0"/>
              <w:autoSpaceDN w:val="0"/>
              <w:adjustRightInd w:val="0"/>
              <w:rPr>
                <w:rFonts w:cs="FoundryFormSans-Book"/>
                <w:lang w:eastAsia="en-GB"/>
              </w:rPr>
            </w:pPr>
            <w:r w:rsidRPr="00945566">
              <w:rPr>
                <w:rFonts w:cs="FoundryFormSans-Book"/>
                <w:lang w:eastAsia="en-GB"/>
              </w:rPr>
              <w:t xml:space="preserve">Helps others understand the </w:t>
            </w:r>
            <w:r>
              <w:rPr>
                <w:rFonts w:cs="FoundryFormSans-Book"/>
                <w:lang w:eastAsia="en-GB"/>
              </w:rPr>
              <w:t>OPDC</w:t>
            </w:r>
            <w:r w:rsidRPr="00945566">
              <w:rPr>
                <w:rFonts w:cs="FoundryFormSans-Book"/>
                <w:lang w:eastAsia="en-GB"/>
              </w:rPr>
              <w:t xml:space="preserve"> and the complex environment in which it operates</w:t>
            </w:r>
          </w:p>
          <w:p w:rsidR="004A05DF" w:rsidRPr="00945566" w:rsidRDefault="004A05DF" w:rsidP="00143257">
            <w:pPr>
              <w:numPr>
                <w:ilvl w:val="0"/>
                <w:numId w:val="13"/>
              </w:numPr>
              <w:autoSpaceDE w:val="0"/>
              <w:autoSpaceDN w:val="0"/>
              <w:adjustRightInd w:val="0"/>
              <w:rPr>
                <w:rFonts w:cs="FoundryFormSans-Book"/>
                <w:lang w:eastAsia="en-GB"/>
              </w:rPr>
            </w:pPr>
            <w:r w:rsidRPr="00945566">
              <w:rPr>
                <w:rFonts w:cs="FoundryFormSans-Book"/>
                <w:lang w:eastAsia="en-GB"/>
              </w:rPr>
              <w:t>Translates changing political agendas into tangible actions</w:t>
            </w:r>
          </w:p>
          <w:p w:rsidR="004A05DF" w:rsidRPr="00945566" w:rsidRDefault="004A05DF" w:rsidP="00143257">
            <w:pPr>
              <w:numPr>
                <w:ilvl w:val="0"/>
                <w:numId w:val="13"/>
              </w:numPr>
              <w:autoSpaceDE w:val="0"/>
              <w:autoSpaceDN w:val="0"/>
              <w:adjustRightInd w:val="0"/>
              <w:rPr>
                <w:rFonts w:cs="FoundryFormSans-Book"/>
                <w:lang w:eastAsia="en-GB"/>
              </w:rPr>
            </w:pPr>
            <w:r w:rsidRPr="00945566">
              <w:rPr>
                <w:rFonts w:cs="FoundryFormSans-Book"/>
                <w:lang w:eastAsia="en-GB"/>
              </w:rPr>
              <w:t xml:space="preserve">Considers the diverse needs of Londoners in formulating </w:t>
            </w:r>
            <w:r>
              <w:rPr>
                <w:rFonts w:cs="FoundryFormSans-Book"/>
                <w:lang w:eastAsia="en-GB"/>
              </w:rPr>
              <w:t>OPDC</w:t>
            </w:r>
            <w:r w:rsidRPr="00945566">
              <w:rPr>
                <w:rFonts w:cs="FoundryFormSans-Book"/>
                <w:lang w:eastAsia="en-GB"/>
              </w:rPr>
              <w:t xml:space="preserve"> objectives</w:t>
            </w:r>
          </w:p>
          <w:p w:rsidR="004A05DF" w:rsidRPr="00945566" w:rsidRDefault="004A05DF" w:rsidP="00143257">
            <w:pPr>
              <w:numPr>
                <w:ilvl w:val="0"/>
                <w:numId w:val="13"/>
              </w:numPr>
              <w:autoSpaceDE w:val="0"/>
              <w:autoSpaceDN w:val="0"/>
              <w:adjustRightInd w:val="0"/>
              <w:rPr>
                <w:rFonts w:cs="FoundryFormSans-Book"/>
                <w:lang w:eastAsia="en-GB"/>
              </w:rPr>
            </w:pPr>
            <w:r w:rsidRPr="00945566">
              <w:rPr>
                <w:rFonts w:cs="FoundryFormSans-Book"/>
                <w:lang w:eastAsia="en-GB"/>
              </w:rPr>
              <w:t xml:space="preserve">Helps others understand how the media and external perceptions of the </w:t>
            </w:r>
            <w:r>
              <w:rPr>
                <w:rFonts w:cs="FoundryFormSans-Book"/>
                <w:lang w:eastAsia="en-GB"/>
              </w:rPr>
              <w:t>OPDC</w:t>
            </w:r>
            <w:r w:rsidRPr="00945566">
              <w:rPr>
                <w:rFonts w:cs="FoundryFormSans-Book"/>
                <w:lang w:eastAsia="en-GB"/>
              </w:rPr>
              <w:t xml:space="preserve"> influence work</w:t>
            </w:r>
          </w:p>
          <w:p w:rsidR="002F58C4" w:rsidRDefault="002F58C4" w:rsidP="00143257">
            <w:pPr>
              <w:ind w:right="-1186"/>
              <w:rPr>
                <w:b/>
              </w:rPr>
            </w:pPr>
          </w:p>
          <w:p w:rsidR="00050A77" w:rsidRDefault="00050A77" w:rsidP="00050A77">
            <w:pPr>
              <w:autoSpaceDE w:val="0"/>
              <w:autoSpaceDN w:val="0"/>
              <w:adjustRightInd w:val="0"/>
              <w:rPr>
                <w:rFonts w:cs="FoundryFormSans-Book"/>
                <w:lang w:eastAsia="en-GB"/>
              </w:rPr>
            </w:pPr>
          </w:p>
          <w:p w:rsidR="00050A77" w:rsidRPr="00581DCE" w:rsidRDefault="00050A77" w:rsidP="00050A77">
            <w:pPr>
              <w:rPr>
                <w:b/>
                <w:u w:val="single"/>
              </w:rPr>
            </w:pPr>
            <w:r w:rsidRPr="00581DCE">
              <w:rPr>
                <w:b/>
                <w:u w:val="single"/>
              </w:rPr>
              <w:t>Strategic Thinking</w:t>
            </w:r>
          </w:p>
          <w:p w:rsidR="00050A77" w:rsidRPr="00581DCE" w:rsidRDefault="00050A77" w:rsidP="00050A77">
            <w:r w:rsidRPr="00581DCE">
              <w:t>... is using an understanding of the bigger picture to uncover potential challenges and opportunities for the long term and turning those into a compelling vision for action.</w:t>
            </w:r>
          </w:p>
          <w:p w:rsidR="00050A77" w:rsidRPr="00581DCE" w:rsidRDefault="00050A77" w:rsidP="00050A77">
            <w:pPr>
              <w:rPr>
                <w:b/>
                <w:u w:val="single"/>
              </w:rPr>
            </w:pPr>
          </w:p>
          <w:p w:rsidR="00050A77" w:rsidRPr="00581DCE" w:rsidRDefault="00050A77" w:rsidP="00050A77">
            <w:pPr>
              <w:rPr>
                <w:b/>
                <w:u w:val="single"/>
              </w:rPr>
            </w:pPr>
            <w:r w:rsidRPr="00581DCE">
              <w:rPr>
                <w:u w:val="single"/>
              </w:rPr>
              <w:t>Level 3 indicators of effective performance</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 xml:space="preserve">Translates </w:t>
            </w:r>
            <w:r>
              <w:rPr>
                <w:rFonts w:cs="FoundryFormSans-Book"/>
                <w:lang w:eastAsia="en-GB"/>
              </w:rPr>
              <w:t>OPDC</w:t>
            </w:r>
            <w:r w:rsidRPr="00581DCE">
              <w:rPr>
                <w:rFonts w:cs="FoundryFormSans-Book"/>
                <w:lang w:eastAsia="en-GB"/>
              </w:rPr>
              <w:t xml:space="preserve"> vision and strategy into practical and tangible plans for own</w:t>
            </w:r>
          </w:p>
          <w:p w:rsidR="00050A77" w:rsidRPr="00581DCE" w:rsidRDefault="00050A77" w:rsidP="00050A77">
            <w:pPr>
              <w:pStyle w:val="ListParagraph"/>
              <w:autoSpaceDE w:val="0"/>
              <w:autoSpaceDN w:val="0"/>
              <w:adjustRightInd w:val="0"/>
              <w:rPr>
                <w:rFonts w:cs="FoundryFormSans-Book"/>
                <w:lang w:eastAsia="en-GB"/>
              </w:rPr>
            </w:pPr>
            <w:r w:rsidRPr="00581DCE">
              <w:rPr>
                <w:rFonts w:cs="FoundryFormSans-Book"/>
                <w:lang w:eastAsia="en-GB"/>
              </w:rPr>
              <w:t>team or delivery partners</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Consistently takes account of the wider implications of team’s actions for</w:t>
            </w:r>
          </w:p>
          <w:p w:rsidR="00050A77" w:rsidRPr="00581DCE" w:rsidRDefault="00050A77" w:rsidP="00050A77">
            <w:pPr>
              <w:pStyle w:val="ListParagraph"/>
              <w:autoSpaceDE w:val="0"/>
              <w:autoSpaceDN w:val="0"/>
              <w:adjustRightInd w:val="0"/>
              <w:rPr>
                <w:rFonts w:cs="FoundryFormSans-Book"/>
                <w:lang w:eastAsia="en-GB"/>
              </w:rPr>
            </w:pPr>
            <w:r w:rsidRPr="00581DCE">
              <w:rPr>
                <w:rFonts w:cs="FoundryFormSans-Book"/>
                <w:lang w:eastAsia="en-GB"/>
              </w:rPr>
              <w:t xml:space="preserve">the </w:t>
            </w:r>
            <w:r>
              <w:rPr>
                <w:rFonts w:cs="FoundryFormSans-Book"/>
                <w:lang w:eastAsia="en-GB"/>
              </w:rPr>
              <w:t>OPC</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 xml:space="preserve">Encourages self and others to think about organisation’s </w:t>
            </w:r>
            <w:proofErr w:type="gramStart"/>
            <w:r w:rsidRPr="00581DCE">
              <w:rPr>
                <w:rFonts w:cs="FoundryFormSans-Book"/>
                <w:lang w:eastAsia="en-GB"/>
              </w:rPr>
              <w:t>long term</w:t>
            </w:r>
            <w:proofErr w:type="gramEnd"/>
            <w:r w:rsidRPr="00581DCE">
              <w:rPr>
                <w:rFonts w:cs="FoundryFormSans-Book"/>
                <w:lang w:eastAsia="en-GB"/>
              </w:rPr>
              <w:t xml:space="preserve"> potential</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Informs strategy development by identifying gaps in current delivery or</w:t>
            </w:r>
          </w:p>
          <w:p w:rsidR="00050A77" w:rsidRPr="00581DCE" w:rsidRDefault="00050A77" w:rsidP="00050A77">
            <w:pPr>
              <w:pStyle w:val="ListParagraph"/>
              <w:autoSpaceDE w:val="0"/>
              <w:autoSpaceDN w:val="0"/>
              <w:adjustRightInd w:val="0"/>
              <w:rPr>
                <w:rFonts w:cs="FoundryFormSans-Book"/>
                <w:lang w:eastAsia="en-GB"/>
              </w:rPr>
            </w:pPr>
            <w:r w:rsidRPr="00581DCE">
              <w:rPr>
                <w:rFonts w:cs="FoundryFormSans-Book"/>
                <w:lang w:eastAsia="en-GB"/>
              </w:rPr>
              <w:t>evidence</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Takes account of a wide range of public and partner needs to inform</w:t>
            </w:r>
          </w:p>
          <w:p w:rsidR="00050A77" w:rsidRPr="00581DCE" w:rsidRDefault="00050A77" w:rsidP="00050A77">
            <w:pPr>
              <w:pStyle w:val="ListParagraph"/>
              <w:autoSpaceDE w:val="0"/>
              <w:autoSpaceDN w:val="0"/>
              <w:adjustRightInd w:val="0"/>
              <w:rPr>
                <w:rFonts w:cs="FoundryFormSans-Book"/>
                <w:lang w:eastAsia="en-GB"/>
              </w:rPr>
            </w:pPr>
            <w:r w:rsidRPr="00581DCE">
              <w:rPr>
                <w:rFonts w:cs="FoundryFormSans-Book"/>
                <w:lang w:eastAsia="en-GB"/>
              </w:rPr>
              <w:t>team’s work</w:t>
            </w:r>
          </w:p>
          <w:p w:rsidR="00050A77" w:rsidRDefault="00050A77" w:rsidP="00050A77">
            <w:pPr>
              <w:autoSpaceDE w:val="0"/>
              <w:autoSpaceDN w:val="0"/>
              <w:adjustRightInd w:val="0"/>
              <w:rPr>
                <w:rFonts w:cs="FoundryFormSans-Book"/>
                <w:lang w:eastAsia="en-GB"/>
              </w:rPr>
            </w:pPr>
          </w:p>
          <w:p w:rsidR="00050A77" w:rsidRDefault="00050A77" w:rsidP="00050A77">
            <w:pPr>
              <w:autoSpaceDE w:val="0"/>
              <w:autoSpaceDN w:val="0"/>
              <w:adjustRightInd w:val="0"/>
              <w:rPr>
                <w:rFonts w:cs="FoundryFormSans-Book"/>
                <w:lang w:eastAsia="en-GB"/>
              </w:rPr>
            </w:pPr>
          </w:p>
          <w:p w:rsidR="00050A77" w:rsidRDefault="00050A77" w:rsidP="00050A77">
            <w:pPr>
              <w:autoSpaceDE w:val="0"/>
              <w:autoSpaceDN w:val="0"/>
              <w:adjustRightInd w:val="0"/>
              <w:rPr>
                <w:rFonts w:cs="FoundryFormSans-Book"/>
                <w:lang w:eastAsia="en-GB"/>
              </w:rPr>
            </w:pPr>
          </w:p>
          <w:p w:rsidR="00050A77" w:rsidRPr="00581DCE" w:rsidRDefault="00050A77" w:rsidP="00050A77">
            <w:pPr>
              <w:rPr>
                <w:b/>
                <w:u w:val="single"/>
              </w:rPr>
            </w:pPr>
            <w:r w:rsidRPr="00581DCE">
              <w:rPr>
                <w:b/>
                <w:u w:val="single"/>
              </w:rPr>
              <w:t>Managing &amp; Developing Performance</w:t>
            </w:r>
          </w:p>
          <w:p w:rsidR="00050A77" w:rsidRPr="00581DCE" w:rsidRDefault="00050A77" w:rsidP="00050A77">
            <w:pPr>
              <w:autoSpaceDE w:val="0"/>
              <w:autoSpaceDN w:val="0"/>
              <w:adjustRightInd w:val="0"/>
              <w:rPr>
                <w:rFonts w:cs="FoundryFormSans-Book"/>
                <w:lang w:eastAsia="en-GB"/>
              </w:rPr>
            </w:pPr>
            <w:r w:rsidRPr="00581DCE">
              <w:rPr>
                <w:rFonts w:cs="FoundryFormSans-Book"/>
                <w:lang w:eastAsia="en-GB"/>
              </w:rPr>
              <w:lastRenderedPageBreak/>
              <w:t xml:space="preserve">… is setting high standards for oneself and others, guiding, motivating and developing them, to achieve high performance and meet the </w:t>
            </w:r>
            <w:r>
              <w:rPr>
                <w:rFonts w:cs="FoundryFormSans-Book"/>
                <w:lang w:eastAsia="en-GB"/>
              </w:rPr>
              <w:t>OPDC’s</w:t>
            </w:r>
            <w:r w:rsidRPr="00581DCE">
              <w:rPr>
                <w:rFonts w:cs="FoundryFormSans-Book"/>
                <w:lang w:eastAsia="en-GB"/>
              </w:rPr>
              <w:t xml:space="preserve"> objectives and statutory obligations.</w:t>
            </w:r>
          </w:p>
          <w:p w:rsidR="00050A77" w:rsidRPr="00581DCE" w:rsidRDefault="00050A77" w:rsidP="00050A77">
            <w:pPr>
              <w:rPr>
                <w:b/>
                <w:u w:val="single"/>
              </w:rPr>
            </w:pPr>
          </w:p>
          <w:p w:rsidR="00050A77" w:rsidRPr="00581DCE" w:rsidRDefault="00050A77" w:rsidP="00050A77">
            <w:pPr>
              <w:rPr>
                <w:b/>
                <w:u w:val="single"/>
              </w:rPr>
            </w:pPr>
            <w:r w:rsidRPr="00581DCE">
              <w:rPr>
                <w:u w:val="single"/>
              </w:rPr>
              <w:t>Level 3 indicators of effective performance</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Motivates and inspires others to perform to their best, recognising and</w:t>
            </w:r>
          </w:p>
          <w:p w:rsidR="00050A77" w:rsidRPr="00581DCE" w:rsidRDefault="00050A77" w:rsidP="00050A77">
            <w:pPr>
              <w:pStyle w:val="ListParagraph"/>
              <w:autoSpaceDE w:val="0"/>
              <w:autoSpaceDN w:val="0"/>
              <w:adjustRightInd w:val="0"/>
              <w:rPr>
                <w:rFonts w:cs="FoundryFormSans-Book"/>
                <w:lang w:eastAsia="en-GB"/>
              </w:rPr>
            </w:pPr>
            <w:r w:rsidRPr="00581DCE">
              <w:rPr>
                <w:rFonts w:cs="FoundryFormSans-Book"/>
                <w:lang w:eastAsia="en-GB"/>
              </w:rPr>
              <w:t>valuing their work and encouraging them to learn and reflect</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Sets clear direction and expectations and enables others to interpret</w:t>
            </w:r>
          </w:p>
          <w:p w:rsidR="00050A77" w:rsidRPr="00581DCE" w:rsidRDefault="00050A77" w:rsidP="00050A77">
            <w:pPr>
              <w:pStyle w:val="ListParagraph"/>
              <w:autoSpaceDE w:val="0"/>
              <w:autoSpaceDN w:val="0"/>
              <w:adjustRightInd w:val="0"/>
              <w:rPr>
                <w:rFonts w:cs="FoundryFormSans-Book"/>
                <w:lang w:eastAsia="en-GB"/>
              </w:rPr>
            </w:pPr>
            <w:r w:rsidRPr="00581DCE">
              <w:rPr>
                <w:rFonts w:cs="FoundryFormSans-Book"/>
                <w:lang w:eastAsia="en-GB"/>
              </w:rPr>
              <w:t>competing priorities</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Agrees and monitors challenging, achievable performance objectives in</w:t>
            </w:r>
          </w:p>
          <w:p w:rsidR="00050A77" w:rsidRPr="00581DCE" w:rsidRDefault="00050A77" w:rsidP="00050A77">
            <w:pPr>
              <w:pStyle w:val="ListParagraph"/>
              <w:autoSpaceDE w:val="0"/>
              <w:autoSpaceDN w:val="0"/>
              <w:adjustRightInd w:val="0"/>
              <w:rPr>
                <w:rFonts w:cs="FoundryFormSans-Book"/>
                <w:lang w:eastAsia="en-GB"/>
              </w:rPr>
            </w:pPr>
            <w:r w:rsidRPr="00581DCE">
              <w:rPr>
                <w:rFonts w:cs="FoundryFormSans-Book"/>
                <w:lang w:eastAsia="en-GB"/>
              </w:rPr>
              <w:t xml:space="preserve">line with </w:t>
            </w:r>
            <w:r>
              <w:rPr>
                <w:rFonts w:cs="FoundryFormSans-Book"/>
                <w:lang w:eastAsia="en-GB"/>
              </w:rPr>
              <w:t>OPDC</w:t>
            </w:r>
            <w:r w:rsidRPr="00581DCE">
              <w:rPr>
                <w:rFonts w:cs="FoundryFormSans-Book"/>
                <w:lang w:eastAsia="en-GB"/>
              </w:rPr>
              <w:t xml:space="preserve"> priorities</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Manages performance issues effectively to avoid adverse impact on team</w:t>
            </w:r>
          </w:p>
          <w:p w:rsidR="00050A77" w:rsidRPr="00581DCE" w:rsidRDefault="00050A77" w:rsidP="00050A77">
            <w:pPr>
              <w:pStyle w:val="ListParagraph"/>
              <w:autoSpaceDE w:val="0"/>
              <w:autoSpaceDN w:val="0"/>
              <w:adjustRightInd w:val="0"/>
              <w:rPr>
                <w:rFonts w:cs="FoundryFormSans-Book"/>
                <w:lang w:eastAsia="en-GB"/>
              </w:rPr>
            </w:pPr>
            <w:r w:rsidRPr="00581DCE">
              <w:rPr>
                <w:rFonts w:cs="FoundryFormSans-Book"/>
                <w:lang w:eastAsia="en-GB"/>
              </w:rPr>
              <w:t>morale and performance</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Promotes a positive team culture that respects diversity and deals with</w:t>
            </w:r>
          </w:p>
          <w:p w:rsidR="00050A77" w:rsidRPr="00581DCE" w:rsidRDefault="00050A77" w:rsidP="00050A77">
            <w:pPr>
              <w:ind w:firstLine="720"/>
              <w:rPr>
                <w:b/>
                <w:u w:val="single"/>
              </w:rPr>
            </w:pPr>
            <w:r w:rsidRPr="00581DCE">
              <w:rPr>
                <w:rFonts w:cs="FoundryFormSans-Book"/>
                <w:lang w:eastAsia="en-GB"/>
              </w:rPr>
              <w:t>barriers to inclusion</w:t>
            </w:r>
          </w:p>
          <w:p w:rsidR="00050A77" w:rsidRPr="00581DCE" w:rsidRDefault="00050A77" w:rsidP="00050A77">
            <w:pPr>
              <w:rPr>
                <w:b/>
                <w:u w:val="single"/>
              </w:rPr>
            </w:pPr>
          </w:p>
          <w:p w:rsidR="00050A77" w:rsidRPr="00581DCE" w:rsidRDefault="00050A77" w:rsidP="00050A77">
            <w:pPr>
              <w:rPr>
                <w:b/>
                <w:u w:val="single"/>
              </w:rPr>
            </w:pPr>
            <w:r w:rsidRPr="00581DCE">
              <w:rPr>
                <w:b/>
                <w:u w:val="single"/>
              </w:rPr>
              <w:t>Responding to Pressure and Change</w:t>
            </w:r>
          </w:p>
          <w:p w:rsidR="00050A77" w:rsidRPr="00581DCE" w:rsidRDefault="00050A77" w:rsidP="00050A77">
            <w:pPr>
              <w:pStyle w:val="ListParagraph"/>
              <w:autoSpaceDE w:val="0"/>
              <w:autoSpaceDN w:val="0"/>
              <w:adjustRightInd w:val="0"/>
              <w:ind w:left="0"/>
              <w:rPr>
                <w:rFonts w:cs="FoundryFormSans-Book"/>
                <w:lang w:eastAsia="en-GB"/>
              </w:rPr>
            </w:pPr>
            <w:r w:rsidRPr="00581DCE">
              <w:rPr>
                <w:rFonts w:cs="FoundryFormSans-Book"/>
                <w:lang w:eastAsia="en-GB"/>
              </w:rPr>
              <w:t>… is being flexible and adapting positively, to sustain performance when the situation changes, workload increases, tensions rise or priorities shift.</w:t>
            </w:r>
          </w:p>
          <w:p w:rsidR="00050A77" w:rsidRPr="00581DCE" w:rsidRDefault="00050A77" w:rsidP="00050A77">
            <w:pPr>
              <w:rPr>
                <w:b/>
                <w:u w:val="single"/>
              </w:rPr>
            </w:pPr>
          </w:p>
          <w:p w:rsidR="00050A77" w:rsidRPr="00581DCE" w:rsidRDefault="00050A77" w:rsidP="00050A77">
            <w:pPr>
              <w:rPr>
                <w:b/>
                <w:u w:val="single"/>
              </w:rPr>
            </w:pPr>
            <w:r w:rsidRPr="00581DCE">
              <w:rPr>
                <w:u w:val="single"/>
              </w:rPr>
              <w:t>Level 3 indicators of effective performance</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Clarifies direction and adapts to changing priorities and uncertain times</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Minimises the pressure of change for the directorate, lessening the impact</w:t>
            </w:r>
          </w:p>
          <w:p w:rsidR="00050A77" w:rsidRPr="00581DCE" w:rsidRDefault="00050A77" w:rsidP="00050A77">
            <w:pPr>
              <w:pStyle w:val="ListParagraph"/>
              <w:autoSpaceDE w:val="0"/>
              <w:autoSpaceDN w:val="0"/>
              <w:adjustRightInd w:val="0"/>
              <w:rPr>
                <w:rFonts w:cs="FoundryFormSans-Book"/>
                <w:lang w:eastAsia="en-GB"/>
              </w:rPr>
            </w:pPr>
            <w:r w:rsidRPr="00581DCE">
              <w:rPr>
                <w:rFonts w:cs="FoundryFormSans-Book"/>
                <w:lang w:eastAsia="en-GB"/>
              </w:rPr>
              <w:t>for the team</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Uses change as an opportunity to improve ways of working, encouraging</w:t>
            </w:r>
          </w:p>
          <w:p w:rsidR="00050A77" w:rsidRPr="00581DCE" w:rsidRDefault="00050A77" w:rsidP="00050A77">
            <w:pPr>
              <w:pStyle w:val="ListParagraph"/>
              <w:autoSpaceDE w:val="0"/>
              <w:autoSpaceDN w:val="0"/>
              <w:adjustRightInd w:val="0"/>
              <w:rPr>
                <w:rFonts w:cs="FoundryFormSans-Book"/>
                <w:lang w:eastAsia="en-GB"/>
              </w:rPr>
            </w:pPr>
            <w:r w:rsidRPr="00581DCE">
              <w:rPr>
                <w:rFonts w:cs="FoundryFormSans-Book"/>
                <w:lang w:eastAsia="en-GB"/>
              </w:rPr>
              <w:t>others’ buy-in</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Keeps staff motivated and engaged during times of change, promoting</w:t>
            </w:r>
          </w:p>
          <w:p w:rsidR="00050A77" w:rsidRPr="00581DCE" w:rsidRDefault="00050A77" w:rsidP="00050A77">
            <w:pPr>
              <w:pStyle w:val="ListParagraph"/>
              <w:autoSpaceDE w:val="0"/>
              <w:autoSpaceDN w:val="0"/>
              <w:adjustRightInd w:val="0"/>
              <w:rPr>
                <w:rFonts w:cs="FoundryFormSans-Book"/>
                <w:lang w:eastAsia="en-GB"/>
              </w:rPr>
            </w:pPr>
            <w:r w:rsidRPr="00581DCE">
              <w:rPr>
                <w:rFonts w:cs="FoundryFormSans-Book"/>
                <w:lang w:eastAsia="en-GB"/>
              </w:rPr>
              <w:t>the benefits</w:t>
            </w:r>
          </w:p>
          <w:p w:rsidR="00050A77" w:rsidRPr="00581DCE" w:rsidRDefault="00050A77" w:rsidP="00050A77">
            <w:pPr>
              <w:pStyle w:val="ListParagraph"/>
              <w:numPr>
                <w:ilvl w:val="0"/>
                <w:numId w:val="2"/>
              </w:numPr>
              <w:autoSpaceDE w:val="0"/>
              <w:autoSpaceDN w:val="0"/>
              <w:adjustRightInd w:val="0"/>
              <w:rPr>
                <w:rFonts w:cs="FoundryFormSans-Book"/>
                <w:lang w:eastAsia="en-GB"/>
              </w:rPr>
            </w:pPr>
            <w:r w:rsidRPr="00581DCE">
              <w:rPr>
                <w:rFonts w:cs="FoundryFormSans-Book"/>
                <w:lang w:eastAsia="en-GB"/>
              </w:rPr>
              <w:t>Takes ownership for communicating change initiatives clearly, ensuring</w:t>
            </w:r>
          </w:p>
          <w:p w:rsidR="00050A77" w:rsidRPr="00581DCE" w:rsidRDefault="00050A77" w:rsidP="00050A77">
            <w:pPr>
              <w:pStyle w:val="ListParagraph"/>
              <w:autoSpaceDE w:val="0"/>
              <w:autoSpaceDN w:val="0"/>
              <w:adjustRightInd w:val="0"/>
              <w:rPr>
                <w:rFonts w:cs="FoundryFormSans-Book"/>
                <w:lang w:eastAsia="en-GB"/>
              </w:rPr>
            </w:pPr>
            <w:r w:rsidRPr="00581DCE">
              <w:rPr>
                <w:rFonts w:cs="FoundryFormSans-Book"/>
                <w:lang w:eastAsia="en-GB"/>
              </w:rPr>
              <w:t>smooth implementation</w:t>
            </w:r>
          </w:p>
          <w:p w:rsidR="00050A77" w:rsidRPr="00581DCE" w:rsidRDefault="00050A77" w:rsidP="00050A77">
            <w:pPr>
              <w:rPr>
                <w:b/>
                <w:u w:val="single"/>
              </w:rPr>
            </w:pPr>
          </w:p>
          <w:p w:rsidR="00050A77" w:rsidRPr="00945566" w:rsidRDefault="00050A77" w:rsidP="00143257">
            <w:pPr>
              <w:ind w:right="-1186"/>
            </w:pPr>
          </w:p>
          <w:p w:rsidR="004A05DF" w:rsidRDefault="004A05DF" w:rsidP="00143257">
            <w:pPr>
              <w:pStyle w:val="Heading4"/>
            </w:pPr>
            <w:r>
              <w:t>Working Patterns</w:t>
            </w:r>
          </w:p>
          <w:p w:rsidR="00887099" w:rsidRPr="00887099" w:rsidRDefault="00887099" w:rsidP="00887099">
            <w:r>
              <w:t>None needed however it is likely, given the engagement aspect of this role, that the post-holder will need to spend some time ‘on-site’ on a regular basis to support delivery of the community engagement programme.</w:t>
            </w:r>
          </w:p>
          <w:p w:rsidR="004A05DF" w:rsidRDefault="004A05DF" w:rsidP="00143257">
            <w:pPr>
              <w:ind w:right="-1186"/>
            </w:pPr>
          </w:p>
          <w:p w:rsidR="004A05DF" w:rsidRDefault="004A05DF" w:rsidP="00143257">
            <w:pPr>
              <w:pStyle w:val="Heading4"/>
            </w:pPr>
            <w:r>
              <w:t>Reasonable adjustment</w:t>
            </w:r>
          </w:p>
          <w:p w:rsidR="00303B1C" w:rsidRPr="00887099" w:rsidRDefault="004A05DF" w:rsidP="00887099">
            <w:pPr>
              <w:autoSpaceDE w:val="0"/>
              <w:autoSpaceDN w:val="0"/>
              <w:adjustRightInd w:val="0"/>
              <w:rPr>
                <w:rFonts w:cs="Courier New"/>
                <w:iCs/>
              </w:rPr>
            </w:pPr>
            <w:r w:rsidRPr="003C4CFB">
              <w:rPr>
                <w:rFonts w:cs="Courier New"/>
                <w:iCs/>
              </w:rPr>
              <w:t>Reasonable adjustment will be made to working arrangements to accommodate a person with a disability who otherwise would be prevented from undertaking the work.</w:t>
            </w:r>
          </w:p>
        </w:tc>
      </w:tr>
    </w:tbl>
    <w:p w:rsidR="00AF22A0" w:rsidRPr="00AF22A0" w:rsidRDefault="00AF22A0" w:rsidP="00AF22A0"/>
    <w:sectPr w:rsidR="00AF22A0" w:rsidRPr="00AF22A0" w:rsidSect="00AF22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70D" w:rsidRDefault="0005570D" w:rsidP="00D24366">
      <w:r>
        <w:separator/>
      </w:r>
    </w:p>
  </w:endnote>
  <w:endnote w:type="continuationSeparator" w:id="0">
    <w:p w:rsidR="0005570D" w:rsidRDefault="0005570D" w:rsidP="00D2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FormSans-Book">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70D" w:rsidRDefault="0005570D" w:rsidP="00D24366">
      <w:r>
        <w:separator/>
      </w:r>
    </w:p>
  </w:footnote>
  <w:footnote w:type="continuationSeparator" w:id="0">
    <w:p w:rsidR="0005570D" w:rsidRDefault="0005570D" w:rsidP="00D2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366" w:rsidRDefault="00D24366">
    <w:pPr>
      <w:pStyle w:val="Header"/>
    </w:pPr>
    <w:r>
      <w:tab/>
    </w:r>
    <w:r>
      <w:tab/>
    </w:r>
    <w:r>
      <w:rPr>
        <w:b/>
        <w:noProof/>
        <w:color w:val="BFBFBF"/>
        <w:sz w:val="28"/>
        <w:szCs w:val="28"/>
        <w:lang w:eastAsia="en-GB"/>
      </w:rPr>
      <w:drawing>
        <wp:inline distT="0" distB="0" distL="0" distR="0" wp14:anchorId="305011AB" wp14:editId="0AC2A8FD">
          <wp:extent cx="866775" cy="627665"/>
          <wp:effectExtent l="0" t="0" r="0" b="1270"/>
          <wp:docPr id="1" name="Picture 1" descr="opd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c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209" cy="63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C72"/>
    <w:multiLevelType w:val="hybridMultilevel"/>
    <w:tmpl w:val="A4DCFC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1C7F"/>
    <w:multiLevelType w:val="hybridMultilevel"/>
    <w:tmpl w:val="93B29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30466"/>
    <w:multiLevelType w:val="hybridMultilevel"/>
    <w:tmpl w:val="EA50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54264"/>
    <w:multiLevelType w:val="hybridMultilevel"/>
    <w:tmpl w:val="934A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478D2"/>
    <w:multiLevelType w:val="hybridMultilevel"/>
    <w:tmpl w:val="E13E8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E6A71"/>
    <w:multiLevelType w:val="hybridMultilevel"/>
    <w:tmpl w:val="AC6AE50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3D0C0F"/>
    <w:multiLevelType w:val="hybridMultilevel"/>
    <w:tmpl w:val="75BC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87D1F"/>
    <w:multiLevelType w:val="hybridMultilevel"/>
    <w:tmpl w:val="F1FE39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75AA7"/>
    <w:multiLevelType w:val="hybridMultilevel"/>
    <w:tmpl w:val="F394FCB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E5560"/>
    <w:multiLevelType w:val="hybridMultilevel"/>
    <w:tmpl w:val="ACFA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850DB"/>
    <w:multiLevelType w:val="hybridMultilevel"/>
    <w:tmpl w:val="93B29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8250A"/>
    <w:multiLevelType w:val="hybridMultilevel"/>
    <w:tmpl w:val="3342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D7821"/>
    <w:multiLevelType w:val="hybridMultilevel"/>
    <w:tmpl w:val="A2B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012B2"/>
    <w:multiLevelType w:val="hybridMultilevel"/>
    <w:tmpl w:val="7B04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81A76"/>
    <w:multiLevelType w:val="hybridMultilevel"/>
    <w:tmpl w:val="A210DE3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A9A1DAF"/>
    <w:multiLevelType w:val="hybridMultilevel"/>
    <w:tmpl w:val="FA3E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B4E0D"/>
    <w:multiLevelType w:val="hybridMultilevel"/>
    <w:tmpl w:val="10F4D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0F4709"/>
    <w:multiLevelType w:val="hybridMultilevel"/>
    <w:tmpl w:val="FE7476EE"/>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1189D"/>
    <w:multiLevelType w:val="hybridMultilevel"/>
    <w:tmpl w:val="811E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D1BD1"/>
    <w:multiLevelType w:val="hybridMultilevel"/>
    <w:tmpl w:val="AE58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8"/>
  </w:num>
  <w:num w:numId="5">
    <w:abstractNumId w:val="10"/>
  </w:num>
  <w:num w:numId="6">
    <w:abstractNumId w:val="4"/>
  </w:num>
  <w:num w:numId="7">
    <w:abstractNumId w:val="9"/>
  </w:num>
  <w:num w:numId="8">
    <w:abstractNumId w:val="17"/>
  </w:num>
  <w:num w:numId="9">
    <w:abstractNumId w:val="15"/>
  </w:num>
  <w:num w:numId="10">
    <w:abstractNumId w:val="13"/>
  </w:num>
  <w:num w:numId="11">
    <w:abstractNumId w:val="6"/>
  </w:num>
  <w:num w:numId="12">
    <w:abstractNumId w:val="12"/>
  </w:num>
  <w:num w:numId="13">
    <w:abstractNumId w:val="11"/>
  </w:num>
  <w:num w:numId="14">
    <w:abstractNumId w:val="2"/>
  </w:num>
  <w:num w:numId="15">
    <w:abstractNumId w:val="16"/>
  </w:num>
  <w:num w:numId="16">
    <w:abstractNumId w:val="7"/>
  </w:num>
  <w:num w:numId="17">
    <w:abstractNumId w:val="5"/>
  </w:num>
  <w:num w:numId="18">
    <w:abstractNumId w:val="1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1C"/>
    <w:rsid w:val="000136B9"/>
    <w:rsid w:val="00041517"/>
    <w:rsid w:val="00050A77"/>
    <w:rsid w:val="0005570D"/>
    <w:rsid w:val="00057A77"/>
    <w:rsid w:val="000B24BF"/>
    <w:rsid w:val="000E62B6"/>
    <w:rsid w:val="0013477E"/>
    <w:rsid w:val="00140C76"/>
    <w:rsid w:val="00143257"/>
    <w:rsid w:val="0017517D"/>
    <w:rsid w:val="001B7A13"/>
    <w:rsid w:val="00243E8E"/>
    <w:rsid w:val="002B5641"/>
    <w:rsid w:val="002B7EDD"/>
    <w:rsid w:val="002E66FC"/>
    <w:rsid w:val="002F58C4"/>
    <w:rsid w:val="00303B1C"/>
    <w:rsid w:val="00314A1A"/>
    <w:rsid w:val="00333E7D"/>
    <w:rsid w:val="00341291"/>
    <w:rsid w:val="0035694F"/>
    <w:rsid w:val="003807B5"/>
    <w:rsid w:val="003D4A49"/>
    <w:rsid w:val="003E1DE6"/>
    <w:rsid w:val="00420BFA"/>
    <w:rsid w:val="004A05DF"/>
    <w:rsid w:val="004A561D"/>
    <w:rsid w:val="004D5C9F"/>
    <w:rsid w:val="00507142"/>
    <w:rsid w:val="005D1E2A"/>
    <w:rsid w:val="005F7102"/>
    <w:rsid w:val="0066176F"/>
    <w:rsid w:val="006C29E1"/>
    <w:rsid w:val="006D7595"/>
    <w:rsid w:val="007276F8"/>
    <w:rsid w:val="00736F42"/>
    <w:rsid w:val="007940FC"/>
    <w:rsid w:val="007B5EC5"/>
    <w:rsid w:val="007D00FE"/>
    <w:rsid w:val="007D78F6"/>
    <w:rsid w:val="00810E68"/>
    <w:rsid w:val="00836648"/>
    <w:rsid w:val="008530D7"/>
    <w:rsid w:val="0088157A"/>
    <w:rsid w:val="00887099"/>
    <w:rsid w:val="008C7428"/>
    <w:rsid w:val="008F55D0"/>
    <w:rsid w:val="00903571"/>
    <w:rsid w:val="00943F63"/>
    <w:rsid w:val="009547CC"/>
    <w:rsid w:val="00990454"/>
    <w:rsid w:val="00991D64"/>
    <w:rsid w:val="009A3D6A"/>
    <w:rsid w:val="009B33C6"/>
    <w:rsid w:val="00A37FA6"/>
    <w:rsid w:val="00A6256D"/>
    <w:rsid w:val="00A81C3D"/>
    <w:rsid w:val="00AF22A0"/>
    <w:rsid w:val="00B51CE6"/>
    <w:rsid w:val="00C14AD6"/>
    <w:rsid w:val="00C502EB"/>
    <w:rsid w:val="00C66247"/>
    <w:rsid w:val="00C67FD9"/>
    <w:rsid w:val="00C70835"/>
    <w:rsid w:val="00C87306"/>
    <w:rsid w:val="00CB50E7"/>
    <w:rsid w:val="00CC5FF8"/>
    <w:rsid w:val="00CE4F7E"/>
    <w:rsid w:val="00D24366"/>
    <w:rsid w:val="00D43831"/>
    <w:rsid w:val="00D91C04"/>
    <w:rsid w:val="00DE7B97"/>
    <w:rsid w:val="00E05D92"/>
    <w:rsid w:val="00ED40B5"/>
    <w:rsid w:val="00EE4B2F"/>
    <w:rsid w:val="00F07037"/>
    <w:rsid w:val="00F32212"/>
    <w:rsid w:val="00F455B2"/>
    <w:rsid w:val="00F76A4E"/>
    <w:rsid w:val="00F7785A"/>
    <w:rsid w:val="00FB5059"/>
    <w:rsid w:val="00FE4882"/>
    <w:rsid w:val="00FF3405"/>
    <w:rsid w:val="00FF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694084-57E7-480A-B16C-9997B2C5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4A05DF"/>
    <w:pPr>
      <w:keepNext/>
      <w:ind w:right="-1186"/>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30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4366"/>
    <w:pPr>
      <w:tabs>
        <w:tab w:val="center" w:pos="4513"/>
        <w:tab w:val="right" w:pos="9026"/>
      </w:tabs>
    </w:pPr>
  </w:style>
  <w:style w:type="character" w:customStyle="1" w:styleId="HeaderChar">
    <w:name w:val="Header Char"/>
    <w:basedOn w:val="DefaultParagraphFont"/>
    <w:link w:val="Header"/>
    <w:rsid w:val="00D24366"/>
    <w:rPr>
      <w:rFonts w:ascii="Foundry Form Sans" w:hAnsi="Foundry Form Sans"/>
      <w:sz w:val="24"/>
      <w:szCs w:val="24"/>
      <w:lang w:eastAsia="en-US"/>
    </w:rPr>
  </w:style>
  <w:style w:type="paragraph" w:styleId="Footer">
    <w:name w:val="footer"/>
    <w:basedOn w:val="Normal"/>
    <w:link w:val="FooterChar"/>
    <w:rsid w:val="00D24366"/>
    <w:pPr>
      <w:tabs>
        <w:tab w:val="center" w:pos="4513"/>
        <w:tab w:val="right" w:pos="9026"/>
      </w:tabs>
    </w:pPr>
  </w:style>
  <w:style w:type="character" w:customStyle="1" w:styleId="FooterChar">
    <w:name w:val="Footer Char"/>
    <w:basedOn w:val="DefaultParagraphFont"/>
    <w:link w:val="Footer"/>
    <w:rsid w:val="00D24366"/>
    <w:rPr>
      <w:rFonts w:ascii="Foundry Form Sans" w:hAnsi="Foundry Form Sans"/>
      <w:sz w:val="24"/>
      <w:szCs w:val="24"/>
      <w:lang w:eastAsia="en-US"/>
    </w:rPr>
  </w:style>
  <w:style w:type="paragraph" w:styleId="ListParagraph">
    <w:name w:val="List Paragraph"/>
    <w:basedOn w:val="Normal"/>
    <w:uiPriority w:val="34"/>
    <w:qFormat/>
    <w:rsid w:val="00243E8E"/>
    <w:pPr>
      <w:ind w:left="720"/>
      <w:contextualSpacing/>
    </w:pPr>
  </w:style>
  <w:style w:type="character" w:styleId="CommentReference">
    <w:name w:val="annotation reference"/>
    <w:rsid w:val="003E1DE6"/>
    <w:rPr>
      <w:sz w:val="16"/>
      <w:szCs w:val="16"/>
    </w:rPr>
  </w:style>
  <w:style w:type="paragraph" w:styleId="CommentText">
    <w:name w:val="annotation text"/>
    <w:basedOn w:val="Normal"/>
    <w:link w:val="CommentTextChar"/>
    <w:rsid w:val="003E1DE6"/>
    <w:rPr>
      <w:sz w:val="20"/>
      <w:szCs w:val="20"/>
    </w:rPr>
  </w:style>
  <w:style w:type="character" w:customStyle="1" w:styleId="CommentTextChar">
    <w:name w:val="Comment Text Char"/>
    <w:basedOn w:val="DefaultParagraphFont"/>
    <w:link w:val="CommentText"/>
    <w:rsid w:val="003E1DE6"/>
    <w:rPr>
      <w:rFonts w:ascii="Foundry Form Sans" w:hAnsi="Foundry Form Sans"/>
      <w:lang w:eastAsia="en-US"/>
    </w:rPr>
  </w:style>
  <w:style w:type="character" w:customStyle="1" w:styleId="Heading4Char">
    <w:name w:val="Heading 4 Char"/>
    <w:basedOn w:val="DefaultParagraphFont"/>
    <w:link w:val="Heading4"/>
    <w:rsid w:val="004A05DF"/>
    <w:rPr>
      <w:rFonts w:ascii="Foundry Form Sans" w:hAnsi="Foundry Form Sans"/>
      <w:b/>
      <w:sz w:val="24"/>
      <w:lang w:eastAsia="en-US"/>
    </w:rPr>
  </w:style>
  <w:style w:type="paragraph" w:styleId="CommentSubject">
    <w:name w:val="annotation subject"/>
    <w:basedOn w:val="CommentText"/>
    <w:next w:val="CommentText"/>
    <w:link w:val="CommentSubjectChar"/>
    <w:semiHidden/>
    <w:unhideWhenUsed/>
    <w:rsid w:val="00C70835"/>
    <w:rPr>
      <w:b/>
      <w:bCs/>
    </w:rPr>
  </w:style>
  <w:style w:type="character" w:customStyle="1" w:styleId="CommentSubjectChar">
    <w:name w:val="Comment Subject Char"/>
    <w:basedOn w:val="CommentTextChar"/>
    <w:link w:val="CommentSubject"/>
    <w:semiHidden/>
    <w:rsid w:val="00C70835"/>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9EE9-1DF1-48D6-B698-24449C41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1508</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Preston</dc:creator>
  <cp:lastModifiedBy>Karen Passley</cp:lastModifiedBy>
  <cp:revision>2</cp:revision>
  <dcterms:created xsi:type="dcterms:W3CDTF">2018-09-27T11:37:00Z</dcterms:created>
  <dcterms:modified xsi:type="dcterms:W3CDTF">2018-09-27T11:37:00Z</dcterms:modified>
</cp:coreProperties>
</file>