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60" w:rsidRPr="00A12DAF" w:rsidRDefault="00CA2660" w:rsidP="00921CDB">
      <w:pPr>
        <w:rPr>
          <w:rFonts w:ascii="Foundry Form Sans" w:hAnsi="Foundry Form Sans" w:cs="Foundry Form Sans"/>
          <w:b/>
          <w:bCs/>
          <w:sz w:val="28"/>
          <w:szCs w:val="28"/>
        </w:rPr>
      </w:pPr>
      <w:r w:rsidRPr="00A12DAF">
        <w:rPr>
          <w:rFonts w:ascii="Foundry Form Sans" w:hAnsi="Foundry Form Sans" w:cs="Foundry Form Sans"/>
          <w:b/>
          <w:bCs/>
          <w:sz w:val="28"/>
          <w:szCs w:val="28"/>
        </w:rPr>
        <w:t>Job description</w:t>
      </w:r>
    </w:p>
    <w:p w:rsidR="00CA2660" w:rsidRPr="00A12DAF" w:rsidRDefault="00CA2660" w:rsidP="00921CDB">
      <w:pPr>
        <w:pStyle w:val="BodyText"/>
        <w:ind w:left="360"/>
        <w:rPr>
          <w:rFonts w:ascii="Foundry Form Sans" w:hAnsi="Foundry Form Sans" w:cs="Foundry Form Sans"/>
        </w:rPr>
      </w:pPr>
    </w:p>
    <w:p w:rsidR="0099280F" w:rsidRPr="00052260"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Job title:</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052260">
        <w:rPr>
          <w:rFonts w:ascii="Foundry Form Sans" w:hAnsi="Foundry Form Sans" w:cs="Foundry Form Sans"/>
          <w:b/>
          <w:bCs/>
          <w:sz w:val="24"/>
          <w:szCs w:val="24"/>
        </w:rPr>
        <w:t>Senior P</w:t>
      </w:r>
      <w:r w:rsidR="0099280F" w:rsidRPr="00052260">
        <w:rPr>
          <w:rFonts w:ascii="Foundry Form Sans" w:hAnsi="Foundry Form Sans" w:cs="Foundry Form Sans"/>
          <w:b/>
          <w:bCs/>
          <w:sz w:val="24"/>
          <w:szCs w:val="24"/>
        </w:rPr>
        <w:t>roject Officer (Rough Sleeping)</w:t>
      </w:r>
    </w:p>
    <w:p w:rsidR="00CA2660" w:rsidRPr="00052260"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Grade:</w:t>
      </w:r>
      <w:r w:rsidRPr="00A12DAF">
        <w:rPr>
          <w:rFonts w:ascii="Foundry Form Sans" w:hAnsi="Foundry Form Sans" w:cs="Foundry Form Sans"/>
          <w:b/>
          <w:bCs/>
          <w:sz w:val="24"/>
          <w:szCs w:val="24"/>
        </w:rPr>
        <w:tab/>
      </w:r>
      <w:r w:rsidR="0099280F">
        <w:rPr>
          <w:rFonts w:ascii="Foundry Form Sans" w:hAnsi="Foundry Form Sans" w:cs="Foundry Form Sans"/>
          <w:b/>
          <w:bCs/>
          <w:sz w:val="24"/>
          <w:szCs w:val="24"/>
        </w:rPr>
        <w:tab/>
      </w:r>
      <w:r w:rsidR="0099280F">
        <w:rPr>
          <w:rFonts w:ascii="Foundry Form Sans" w:hAnsi="Foundry Form Sans" w:cs="Foundry Form Sans"/>
          <w:b/>
          <w:bCs/>
          <w:sz w:val="24"/>
          <w:szCs w:val="24"/>
        </w:rPr>
        <w:tab/>
      </w:r>
      <w:r w:rsidR="00FA6ABD" w:rsidRPr="00052260">
        <w:rPr>
          <w:rFonts w:ascii="Foundry Form Sans" w:hAnsi="Foundry Form Sans" w:cs="Foundry Form Sans"/>
          <w:b/>
          <w:bCs/>
          <w:sz w:val="24"/>
          <w:szCs w:val="24"/>
        </w:rPr>
        <w:t>7</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Post number:</w:t>
      </w:r>
      <w:r w:rsidRPr="00052260">
        <w:rPr>
          <w:rFonts w:ascii="Foundry Form Sans" w:hAnsi="Foundry Form Sans" w:cs="Foundry Form Sans"/>
          <w:b/>
          <w:bCs/>
          <w:sz w:val="24"/>
          <w:szCs w:val="24"/>
        </w:rPr>
        <w:t xml:space="preserve">  </w:t>
      </w:r>
      <w:r w:rsidRPr="00052260">
        <w:rPr>
          <w:rFonts w:ascii="Foundry Form Sans" w:hAnsi="Foundry Form Sans" w:cs="Foundry Form Sans"/>
          <w:b/>
          <w:bCs/>
          <w:sz w:val="24"/>
          <w:szCs w:val="24"/>
        </w:rPr>
        <w:tab/>
        <w:t>GLA1990</w:t>
      </w:r>
    </w:p>
    <w:p w:rsidR="00CA2660" w:rsidRPr="00A12DAF" w:rsidRDefault="00CA2660" w:rsidP="00052260">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Directorate:</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052260">
        <w:rPr>
          <w:rFonts w:ascii="Foundry Form Sans" w:hAnsi="Foundry Form Sans" w:cs="Foundry Form Sans"/>
          <w:b/>
          <w:bCs/>
          <w:sz w:val="24"/>
          <w:szCs w:val="24"/>
        </w:rPr>
        <w:t>Housing and Land</w:t>
      </w:r>
    </w:p>
    <w:p w:rsidR="00CA2660" w:rsidRPr="00052260" w:rsidRDefault="00CA2660" w:rsidP="00052260">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Unit:</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052260">
        <w:rPr>
          <w:rFonts w:ascii="Foundry Form Sans" w:hAnsi="Foundry Form Sans" w:cs="Foundry Form Sans"/>
          <w:b/>
          <w:bCs/>
          <w:sz w:val="24"/>
          <w:szCs w:val="24"/>
        </w:rPr>
        <w:t>Programmes, Policy and Services</w:t>
      </w:r>
    </w:p>
    <w:p w:rsidR="00CA2660" w:rsidRPr="00A12DAF" w:rsidRDefault="00CA2660" w:rsidP="00921CDB">
      <w:pPr>
        <w:spacing w:after="120"/>
        <w:ind w:right="-1186"/>
        <w:rPr>
          <w:rFonts w:ascii="Foundry Form Sans" w:hAnsi="Foundry Form Sans" w:cs="Foundry Form Sans"/>
          <w:sz w:val="24"/>
          <w:szCs w:val="24"/>
        </w:rPr>
      </w:pPr>
    </w:p>
    <w:p w:rsidR="00CA2660" w:rsidRPr="00A12DAF" w:rsidRDefault="00CA2660" w:rsidP="00921CDB">
      <w:pPr>
        <w:spacing w:after="120"/>
        <w:ind w:right="-1186"/>
        <w:rPr>
          <w:rFonts w:ascii="Foundry Form Sans" w:hAnsi="Foundry Form Sans" w:cs="Foundry Form Sans"/>
          <w:b/>
          <w:bCs/>
          <w:sz w:val="24"/>
          <w:szCs w:val="24"/>
        </w:rPr>
      </w:pPr>
      <w:r w:rsidRPr="00A12DAF">
        <w:rPr>
          <w:rFonts w:ascii="Foundry Form Sans" w:hAnsi="Foundry Form Sans" w:cs="Foundry Form Sans"/>
          <w:b/>
          <w:bCs/>
          <w:sz w:val="24"/>
          <w:szCs w:val="24"/>
        </w:rPr>
        <w:t>Job purpose</w:t>
      </w:r>
    </w:p>
    <w:p w:rsidR="00CA2660" w:rsidRPr="00A12DAF" w:rsidRDefault="00CA2660" w:rsidP="00921CDB">
      <w:pPr>
        <w:spacing w:after="120"/>
        <w:rPr>
          <w:rFonts w:ascii="Foundry Form Sans" w:hAnsi="Foundry Form Sans" w:cs="Foundry Form Sans"/>
          <w:sz w:val="22"/>
          <w:szCs w:val="22"/>
        </w:rPr>
      </w:pPr>
      <w:r w:rsidRPr="00A12DAF">
        <w:rPr>
          <w:rFonts w:ascii="Foundry Form Sans" w:hAnsi="Foundry Form Sans" w:cs="Foundry Form Sans"/>
          <w:sz w:val="22"/>
          <w:szCs w:val="22"/>
        </w:rPr>
        <w:t xml:space="preserve">To support the delivery of the strategic and operational outcomes set out in the pan-London rough sleeping commissioning strategy and all associated plans, through the development and delivery of the Mayor’s rough sleeping programme. </w:t>
      </w:r>
    </w:p>
    <w:p w:rsidR="00CA2660" w:rsidRPr="00A12DAF" w:rsidRDefault="00CA2660" w:rsidP="00921CDB">
      <w:pPr>
        <w:spacing w:after="120"/>
        <w:rPr>
          <w:rFonts w:ascii="Foundry Form Sans" w:hAnsi="Foundry Form Sans" w:cs="Foundry Form Sans"/>
          <w:sz w:val="22"/>
          <w:szCs w:val="22"/>
        </w:rPr>
      </w:pPr>
      <w:r w:rsidRPr="00A12DAF">
        <w:rPr>
          <w:rFonts w:ascii="Foundry Form Sans" w:hAnsi="Foundry Form Sans" w:cs="Foundry Form Sans"/>
          <w:sz w:val="22"/>
          <w:szCs w:val="22"/>
        </w:rPr>
        <w:t>To monitor and report on overall programme performance and budget. To assist with procurement and to support contracted services to achieve outcomes to time, budget and quality specifications, through regular monitoring of activities.</w:t>
      </w:r>
    </w:p>
    <w:p w:rsidR="00CA2660" w:rsidRPr="00A12DAF" w:rsidRDefault="00CA2660" w:rsidP="00921CDB">
      <w:pPr>
        <w:spacing w:after="120"/>
        <w:rPr>
          <w:rFonts w:ascii="Foundry Form Sans" w:hAnsi="Foundry Form Sans" w:cs="Foundry Form Sans"/>
          <w:sz w:val="22"/>
          <w:szCs w:val="22"/>
        </w:rPr>
      </w:pP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Principal accountabilities</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Support the </w:t>
      </w:r>
      <w:r w:rsidR="001E2F06">
        <w:rPr>
          <w:rFonts w:ascii="Foundry Form Sans" w:hAnsi="Foundry Form Sans" w:cs="Foundry Form Sans"/>
          <w:sz w:val="24"/>
          <w:szCs w:val="24"/>
        </w:rPr>
        <w:t xml:space="preserve">Project Manager (Rough Sleeping) and the </w:t>
      </w:r>
      <w:r w:rsidRPr="00A12DAF">
        <w:rPr>
          <w:rFonts w:ascii="Foundry Form Sans" w:hAnsi="Foundry Form Sans" w:cs="Foundry Form Sans"/>
          <w:sz w:val="24"/>
          <w:szCs w:val="24"/>
        </w:rPr>
        <w:t xml:space="preserve">Services and Commissioning Manager to develop service specifications and other tender documentation and to appraise tenders for major, complex projects and services. Lead on all aspects of the procurement of other projects and services, including small grant programmes. Ensure that all commissioning follows the GLA’s financial, contractual and procurement compliance requirements.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Collect, analyse and report on performance information and other data, to inform the commissioning strategy and service outcomes and specifications. Produce reports on performance across the programme for senior level internal and external audiences, including corporate and departmental governance structures and the Mayor's Rough Sleeping Group.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Manage and monitor providers’ performance against contractual obligations and expected outcomes, taking ownership of operational and strategic issues. Tackle poor performance, working collaboratively with providers to produce action plans to ensure delivery within contract specification. Identify the need for, and design and undertake, audits and reviews of services. Identify where a default notice is the only option.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Lead project teams undertaking monitoring, service reviews and audits of the Mayor's main rough sleeping programme.</w:t>
      </w:r>
    </w:p>
    <w:p w:rsidR="000D1256" w:rsidRPr="00A12DAF" w:rsidRDefault="000D1256" w:rsidP="000D1256">
      <w:pPr>
        <w:numPr>
          <w:ilvl w:val="0"/>
          <w:numId w:val="1"/>
        </w:numPr>
        <w:tabs>
          <w:tab w:val="clear" w:pos="360"/>
          <w:tab w:val="left" w:pos="567"/>
        </w:tabs>
        <w:spacing w:after="120"/>
        <w:ind w:left="567" w:hanging="567"/>
        <w:rPr>
          <w:rFonts w:ascii="Foundry Form Sans" w:hAnsi="Foundry Form Sans"/>
          <w:bCs/>
          <w:sz w:val="24"/>
          <w:szCs w:val="24"/>
        </w:rPr>
      </w:pPr>
      <w:r w:rsidRPr="00A12DAF">
        <w:rPr>
          <w:rFonts w:ascii="Foundry Form Sans" w:hAnsi="Foundry Form Sans"/>
          <w:bCs/>
          <w:sz w:val="24"/>
          <w:szCs w:val="24"/>
        </w:rPr>
        <w:t xml:space="preserve">Undertake monitoring, service reviews, audits and the development and delivery of grant programmes in line with any GLA programme and project management methodology.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Develop and maintain operational and strategic networks to ensure successful service delivery. Ensure excellent working relationships at a senior level both internally and externally, maintaining focus on Mayoral objectives through collaboration, encouragement and advice. Represent the GLA at external events.</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Manage and monitor the budgets of multi-million pound contracted and grant-funded services, reconciling actual income and expenditure with approved budget allocations.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lastRenderedPageBreak/>
        <w:t xml:space="preserve">Prepare reports, briefings, presentations and marketing materials on services for a range of audiences, including the Mayor’s Office. </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Deal with queries and problems raised by service providers, assessing if an operational or strategic response is required. Decide whether issues can be resolved under existing service criteria and specifications and, if not, advise on variations in response to changing circumstances.</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Act as the main point of contact for safeguarding and serious incident reports from providers, analysing and deciding when further investigation or action is required. </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Manage staff and resources allocated in accordance with the Authority’s policies and Code of Ethics and Standards.</w:t>
      </w:r>
    </w:p>
    <w:p w:rsidR="00CA2660" w:rsidRPr="00A12DAF" w:rsidRDefault="00CA2660" w:rsidP="00BF455B">
      <w:pPr>
        <w:numPr>
          <w:ilvl w:val="0"/>
          <w:numId w:val="1"/>
        </w:numPr>
        <w:tabs>
          <w:tab w:val="clear" w:pos="360"/>
          <w:tab w:val="num" w:pos="600"/>
        </w:tabs>
        <w:spacing w:after="120"/>
        <w:ind w:left="600" w:hanging="600"/>
        <w:rPr>
          <w:rFonts w:ascii="Foundry Form Sans" w:hAnsi="Foundry Form Sans" w:cs="Foundry Form Sans"/>
          <w:sz w:val="24"/>
          <w:szCs w:val="24"/>
        </w:rPr>
      </w:pPr>
      <w:r w:rsidRPr="00A12DAF">
        <w:rPr>
          <w:rFonts w:ascii="Foundry Form Sans" w:hAnsi="Foundry Form Sans" w:cs="Foundry Form Sans"/>
          <w:sz w:val="24"/>
          <w:szCs w:val="24"/>
        </w:rPr>
        <w:t>Realise and promote the benefits of London’s diversity by promoting and enabling equality of opportunities, and promoting the diverse needs and aspirations of London’s communities.</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Realise the benefits of a flexible approach to work in undertaking the duties and responsibilities of this job, and participating in multi-disciplinary, cross-departmental and cross-organisational groups and project teams</w:t>
      </w:r>
    </w:p>
    <w:p w:rsidR="00CA2660" w:rsidRPr="00A12DAF" w:rsidRDefault="00CA2660" w:rsidP="00921CDB">
      <w:pPr>
        <w:spacing w:after="120"/>
        <w:rPr>
          <w:rFonts w:ascii="Foundry Form Sans" w:hAnsi="Foundry Form Sans" w:cs="Foundry Form Sans"/>
          <w:sz w:val="24"/>
          <w:szCs w:val="24"/>
        </w:rPr>
      </w:pP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Key contacts</w:t>
      </w:r>
    </w:p>
    <w:p w:rsidR="00CA2660" w:rsidRPr="00A12DAF" w:rsidRDefault="00CA2660" w:rsidP="00921CDB">
      <w:pPr>
        <w:spacing w:after="120"/>
        <w:ind w:right="-1186"/>
        <w:rPr>
          <w:rFonts w:ascii="Foundry Form Sans" w:hAnsi="Foundry Form Sans" w:cs="Foundry Form Sans"/>
          <w:sz w:val="24"/>
          <w:szCs w:val="24"/>
        </w:rPr>
      </w:pPr>
      <w:r w:rsidRPr="00A12DAF">
        <w:rPr>
          <w:rFonts w:ascii="Foundry Form Sans" w:hAnsi="Foundry Form Sans" w:cs="Foundry Form Sans"/>
          <w:b/>
          <w:bCs/>
          <w:sz w:val="24"/>
          <w:szCs w:val="24"/>
        </w:rPr>
        <w:t>Accountable to:</w:t>
      </w:r>
      <w:r w:rsidRPr="00A12DAF">
        <w:rPr>
          <w:rFonts w:ascii="Foundry Form Sans" w:hAnsi="Foundry Form Sans" w:cs="Foundry Form Sans"/>
          <w:sz w:val="24"/>
          <w:szCs w:val="24"/>
        </w:rPr>
        <w:tab/>
      </w:r>
      <w:r w:rsidR="001E2F06">
        <w:rPr>
          <w:rFonts w:ascii="Foundry Form Sans" w:hAnsi="Foundry Form Sans" w:cs="Foundry Form Sans"/>
          <w:sz w:val="24"/>
          <w:szCs w:val="24"/>
        </w:rPr>
        <w:t>Project Manager (Rough Sleeping)</w:t>
      </w:r>
      <w:r w:rsidRPr="00A12DAF">
        <w:rPr>
          <w:rFonts w:ascii="Foundry Form Sans" w:hAnsi="Foundry Form Sans" w:cs="Foundry Form Sans"/>
          <w:sz w:val="24"/>
          <w:szCs w:val="24"/>
        </w:rPr>
        <w:t xml:space="preserve"> </w:t>
      </w:r>
    </w:p>
    <w:p w:rsidR="00CA2660" w:rsidRPr="00A12DAF" w:rsidRDefault="00CA2660" w:rsidP="00921CDB">
      <w:pPr>
        <w:spacing w:after="120"/>
        <w:ind w:right="-1186"/>
        <w:rPr>
          <w:rFonts w:ascii="Foundry Form Sans" w:hAnsi="Foundry Form Sans" w:cs="Foundry Form Sans"/>
          <w:sz w:val="24"/>
          <w:szCs w:val="24"/>
        </w:rPr>
      </w:pPr>
      <w:r w:rsidRPr="00A12DAF">
        <w:rPr>
          <w:rFonts w:ascii="Foundry Form Sans" w:hAnsi="Foundry Form Sans" w:cs="Foundry Form Sans"/>
          <w:b/>
          <w:bCs/>
          <w:sz w:val="24"/>
          <w:szCs w:val="24"/>
        </w:rPr>
        <w:t>Accountable for:</w:t>
      </w:r>
      <w:r w:rsidRPr="00A12DAF">
        <w:rPr>
          <w:rFonts w:ascii="Foundry Form Sans" w:hAnsi="Foundry Form Sans" w:cs="Foundry Form Sans"/>
          <w:b/>
          <w:bCs/>
          <w:sz w:val="24"/>
          <w:szCs w:val="24"/>
        </w:rPr>
        <w:tab/>
      </w:r>
      <w:r w:rsidRPr="00A12DAF">
        <w:rPr>
          <w:rFonts w:ascii="Foundry Form Sans" w:hAnsi="Foundry Form Sans" w:cs="Foundry Form Sans"/>
          <w:sz w:val="24"/>
          <w:szCs w:val="24"/>
        </w:rPr>
        <w:t xml:space="preserve">Resources allocated to the job </w:t>
      </w:r>
    </w:p>
    <w:p w:rsidR="00CA2660" w:rsidRPr="00A12DAF" w:rsidRDefault="00CA2660" w:rsidP="00921CDB">
      <w:pPr>
        <w:pStyle w:val="Heading4"/>
        <w:spacing w:after="120"/>
        <w:ind w:left="2160" w:right="-16" w:hanging="2160"/>
        <w:jc w:val="left"/>
        <w:rPr>
          <w:b/>
          <w:bCs/>
          <w:sz w:val="24"/>
          <w:szCs w:val="24"/>
        </w:rPr>
      </w:pPr>
      <w:r w:rsidRPr="00A12DAF">
        <w:rPr>
          <w:b/>
          <w:bCs/>
          <w:sz w:val="24"/>
          <w:szCs w:val="24"/>
        </w:rPr>
        <w:t>Principal contacts:</w:t>
      </w:r>
      <w:r w:rsidRPr="00A12DAF">
        <w:rPr>
          <w:b/>
          <w:bCs/>
          <w:sz w:val="24"/>
          <w:szCs w:val="24"/>
        </w:rPr>
        <w:tab/>
      </w:r>
      <w:r w:rsidRPr="00A12DAF">
        <w:rPr>
          <w:sz w:val="24"/>
          <w:szCs w:val="24"/>
        </w:rPr>
        <w:t>Mayoral Advisors, service providers in the voluntary and charitable sectors, London borough officers, central government officers, London representative bodies, and other statutory and voluntary agencies, and functional bodies.</w:t>
      </w:r>
    </w:p>
    <w:p w:rsidR="00052260" w:rsidRDefault="00052260" w:rsidP="00921CDB">
      <w:pPr>
        <w:spacing w:after="120"/>
        <w:rPr>
          <w:rFonts w:ascii="Foundry Form Sans" w:hAnsi="Foundry Form Sans" w:cs="Foundry Form Sans"/>
          <w:b/>
          <w:bCs/>
          <w:sz w:val="24"/>
          <w:szCs w:val="24"/>
        </w:rPr>
      </w:pPr>
    </w:p>
    <w:p w:rsidR="00CA2660" w:rsidRPr="00A12DAF" w:rsidRDefault="00052260" w:rsidP="00921CDB">
      <w:pPr>
        <w:spacing w:after="120"/>
        <w:rPr>
          <w:rFonts w:ascii="Foundry Form Sans" w:hAnsi="Foundry Form Sans" w:cs="Foundry Form Sans"/>
          <w:b/>
          <w:bCs/>
          <w:sz w:val="24"/>
          <w:szCs w:val="24"/>
        </w:rPr>
      </w:pPr>
      <w:r>
        <w:rPr>
          <w:rFonts w:ascii="Foundry Form Sans" w:hAnsi="Foundry Form Sans" w:cs="Foundry Form Sans"/>
          <w:b/>
          <w:bCs/>
          <w:sz w:val="24"/>
          <w:szCs w:val="24"/>
        </w:rPr>
        <w:t>PERSON SPECIFICATION</w:t>
      </w:r>
    </w:p>
    <w:p w:rsidR="00CA2660" w:rsidRPr="00A12DAF" w:rsidRDefault="00CA2660" w:rsidP="00921CDB">
      <w:pPr>
        <w:spacing w:after="120"/>
        <w:ind w:right="-1186"/>
        <w:rPr>
          <w:rFonts w:ascii="Foundry Form Sans" w:hAnsi="Foundry Form Sans" w:cs="Foundry Form Sans"/>
          <w:b/>
          <w:bCs/>
          <w:sz w:val="24"/>
          <w:szCs w:val="24"/>
        </w:rPr>
      </w:pPr>
      <w:r w:rsidRPr="00A12DAF">
        <w:rPr>
          <w:rFonts w:ascii="Foundry Form Sans" w:hAnsi="Foundry Form Sans" w:cs="Foundry Form Sans"/>
          <w:b/>
          <w:bCs/>
          <w:sz w:val="24"/>
          <w:szCs w:val="24"/>
        </w:rPr>
        <w:t>Technical requirements/experience/qualifications:</w:t>
      </w:r>
    </w:p>
    <w:p w:rsidR="00CA2660" w:rsidRPr="00A12DAF" w:rsidRDefault="00CA2660" w:rsidP="00921CDB">
      <w:pPr>
        <w:numPr>
          <w:ilvl w:val="0"/>
          <w:numId w:val="2"/>
        </w:numPr>
        <w:spacing w:after="120"/>
        <w:ind w:right="-1186"/>
        <w:rPr>
          <w:rFonts w:ascii="Foundry Form Sans" w:hAnsi="Foundry Form Sans" w:cs="Foundry Form Sans"/>
          <w:sz w:val="24"/>
          <w:szCs w:val="24"/>
        </w:rPr>
      </w:pPr>
      <w:r w:rsidRPr="00A12DAF">
        <w:rPr>
          <w:rFonts w:ascii="Foundry Form Sans" w:hAnsi="Foundry Form Sans" w:cs="Foundry Form Sans"/>
          <w:sz w:val="24"/>
          <w:szCs w:val="24"/>
        </w:rPr>
        <w:t xml:space="preserve">Thorough understanding of procurement processes and the legal and operational framework.  </w:t>
      </w:r>
    </w:p>
    <w:p w:rsidR="00CA2660" w:rsidRPr="00A12DAF" w:rsidRDefault="00CA2660" w:rsidP="00921CDB">
      <w:pPr>
        <w:numPr>
          <w:ilvl w:val="0"/>
          <w:numId w:val="2"/>
        </w:numPr>
        <w:spacing w:after="120"/>
        <w:ind w:right="-1186"/>
        <w:rPr>
          <w:rFonts w:ascii="Foundry Form Sans" w:hAnsi="Foundry Form Sans" w:cs="Foundry Form Sans"/>
          <w:sz w:val="24"/>
          <w:szCs w:val="24"/>
        </w:rPr>
      </w:pPr>
      <w:r w:rsidRPr="00A12DAF">
        <w:rPr>
          <w:rFonts w:ascii="Foundry Form Sans" w:hAnsi="Foundry Form Sans" w:cs="Foundry Form Sans"/>
          <w:sz w:val="24"/>
          <w:szCs w:val="24"/>
        </w:rPr>
        <w:t>Good knowledge of policy, procedures and legislation relevant to supplier relationship management.</w:t>
      </w:r>
    </w:p>
    <w:p w:rsidR="00CA2660" w:rsidRPr="00A12DAF" w:rsidRDefault="00CA2660" w:rsidP="00921CDB">
      <w:pPr>
        <w:numPr>
          <w:ilvl w:val="0"/>
          <w:numId w:val="2"/>
        </w:numPr>
        <w:spacing w:after="120"/>
        <w:ind w:right="-1186"/>
        <w:rPr>
          <w:rFonts w:ascii="Foundry Form Sans" w:hAnsi="Foundry Form Sans" w:cs="Foundry Form Sans"/>
          <w:sz w:val="24"/>
          <w:szCs w:val="24"/>
        </w:rPr>
      </w:pPr>
      <w:r w:rsidRPr="00A12DAF">
        <w:rPr>
          <w:rFonts w:ascii="Foundry Form Sans" w:hAnsi="Foundry Form Sans" w:cs="Foundry Form Sans"/>
          <w:sz w:val="24"/>
          <w:szCs w:val="24"/>
        </w:rPr>
        <w:t>Experience of contract monitoring for homelessness or other social care services.</w:t>
      </w:r>
    </w:p>
    <w:p w:rsidR="00CA2660" w:rsidRPr="00A12DAF" w:rsidRDefault="00CA2660" w:rsidP="00921CDB">
      <w:pPr>
        <w:numPr>
          <w:ilvl w:val="0"/>
          <w:numId w:val="2"/>
        </w:numPr>
        <w:spacing w:after="120"/>
        <w:rPr>
          <w:rFonts w:ascii="Foundry Form Sans" w:hAnsi="Foundry Form Sans" w:cs="Foundry Form Sans"/>
          <w:sz w:val="24"/>
          <w:szCs w:val="24"/>
        </w:rPr>
      </w:pPr>
      <w:r w:rsidRPr="00A12DAF">
        <w:rPr>
          <w:rFonts w:ascii="Foundry Form Sans" w:hAnsi="Foundry Form Sans" w:cs="Foundry Form Sans"/>
          <w:sz w:val="24"/>
          <w:szCs w:val="24"/>
        </w:rPr>
        <w:t>An understanding of the GLA’s commitment to equality and diversity.</w:t>
      </w:r>
    </w:p>
    <w:p w:rsidR="00052260" w:rsidRDefault="00052260" w:rsidP="00921CDB">
      <w:pPr>
        <w:spacing w:after="120"/>
        <w:rPr>
          <w:rFonts w:ascii="Foundry Form Sans" w:hAnsi="Foundry Form Sans" w:cs="Foundry Form Sans"/>
          <w:b/>
          <w:bCs/>
          <w:sz w:val="24"/>
          <w:szCs w:val="24"/>
        </w:rPr>
      </w:pP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Behavioural competencies</w:t>
      </w:r>
    </w:p>
    <w:p w:rsidR="00CA2660" w:rsidRPr="00A12DAF" w:rsidRDefault="00CA2660" w:rsidP="00BF455B">
      <w:pPr>
        <w:pStyle w:val="BodyText"/>
        <w:rPr>
          <w:rFonts w:ascii="Foundry Form Sans" w:hAnsi="Foundry Form Sans" w:cs="Foundry Form Sans"/>
          <w:b/>
          <w:bCs/>
        </w:rPr>
      </w:pPr>
      <w:r w:rsidRPr="00A12DAF">
        <w:rPr>
          <w:rFonts w:ascii="Foundry Form Sans" w:hAnsi="Foundry Form Sans" w:cs="Foundry Form Sans"/>
          <w:b/>
          <w:bCs/>
        </w:rPr>
        <w:t>Building and managing relationships</w:t>
      </w:r>
    </w:p>
    <w:p w:rsidR="00CA2660" w:rsidRPr="00A12DAF" w:rsidRDefault="00CA2660" w:rsidP="00BF455B">
      <w:pPr>
        <w:pStyle w:val="BodyText"/>
        <w:rPr>
          <w:rFonts w:ascii="Foundry Form Sans" w:hAnsi="Foundry Form Sans" w:cs="Foundry Form Sans"/>
        </w:rPr>
      </w:pPr>
      <w:r w:rsidRPr="00A12DAF">
        <w:rPr>
          <w:rFonts w:ascii="Foundry Form Sans" w:hAnsi="Foundry Form Sans" w:cs="Foundry Form Sans"/>
        </w:rPr>
        <w:t>…is developing rapport and working effectively with a diverse range of people, sharing knowledge and skills to deliver shared goals.</w:t>
      </w:r>
    </w:p>
    <w:p w:rsidR="00CA2660" w:rsidRPr="00A12DAF" w:rsidRDefault="00CA2660" w:rsidP="00921CDB">
      <w:pPr>
        <w:pStyle w:val="BodyText"/>
        <w:ind w:left="360"/>
        <w:rPr>
          <w:rFonts w:ascii="Foundry Form Sans" w:hAnsi="Foundry Form Sans" w:cs="Foundry Form Sans"/>
          <w:u w:val="single"/>
        </w:rPr>
      </w:pPr>
    </w:p>
    <w:p w:rsidR="00CA2660" w:rsidRPr="00A12DAF" w:rsidRDefault="00CA2660" w:rsidP="00BF455B">
      <w:pPr>
        <w:pStyle w:val="BodyText"/>
        <w:rPr>
          <w:rFonts w:ascii="Foundry Form Sans" w:hAnsi="Foundry Form Sans" w:cs="Foundry Form Sans"/>
          <w:u w:val="single"/>
        </w:rPr>
      </w:pPr>
      <w:r w:rsidRPr="00A12DAF">
        <w:rPr>
          <w:rFonts w:ascii="Foundry Form Sans" w:hAnsi="Foundry Form Sans" w:cs="Foundry Form Sans"/>
          <w:u w:val="single"/>
        </w:rPr>
        <w:t>Level 2 Indicators of effective performance</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Identifies opportunities for joint working to minimise duplication and deliver shared goals</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Develops new professional relationships</w:t>
      </w:r>
    </w:p>
    <w:p w:rsidR="00CA2660" w:rsidRPr="00A12DAF" w:rsidRDefault="00CA2660" w:rsidP="00921CDB">
      <w:pPr>
        <w:pStyle w:val="BodyText"/>
        <w:numPr>
          <w:ilvl w:val="0"/>
          <w:numId w:val="11"/>
        </w:numPr>
        <w:rPr>
          <w:rFonts w:ascii="Foundry Form Sans" w:hAnsi="Foundry Form Sans" w:cs="Foundry Form Sans"/>
        </w:rPr>
      </w:pPr>
      <w:r w:rsidRPr="00A12DAF">
        <w:rPr>
          <w:rFonts w:ascii="Foundry Form Sans" w:hAnsi="Foundry Form Sans" w:cs="Foundry Form Sans"/>
        </w:rPr>
        <w:lastRenderedPageBreak/>
        <w:t>Understands the needs of others, the constraints they face and the levers to their engagement</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 xml:space="preserve">Understands differences, anticipates areas of conflict and </w:t>
      </w:r>
      <w:proofErr w:type="gramStart"/>
      <w:r w:rsidRPr="00A12DAF">
        <w:rPr>
          <w:rFonts w:ascii="Foundry Form Sans" w:hAnsi="Foundry Form Sans" w:cs="Foundry Form Sans"/>
        </w:rPr>
        <w:t>takes action</w:t>
      </w:r>
      <w:proofErr w:type="gramEnd"/>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Fosters an environment where others feel respected</w:t>
      </w:r>
    </w:p>
    <w:p w:rsidR="00CA2660" w:rsidRPr="00A12DAF" w:rsidRDefault="00CA2660" w:rsidP="00921CDB">
      <w:pPr>
        <w:pStyle w:val="BodyText2"/>
        <w:ind w:left="-40" w:right="113"/>
        <w:rPr>
          <w:rFonts w:ascii="Foundry Form Sans" w:hAnsi="Foundry Form Sans" w:cs="Foundry Form Sans"/>
          <w:b/>
          <w:bCs/>
          <w:color w:val="auto"/>
          <w:sz w:val="24"/>
          <w:szCs w:val="24"/>
        </w:rPr>
      </w:pPr>
    </w:p>
    <w:p w:rsidR="00CA2660" w:rsidRPr="00A12DAF" w:rsidRDefault="00CA2660" w:rsidP="00BF455B">
      <w:pPr>
        <w:pStyle w:val="BodyText"/>
        <w:rPr>
          <w:rFonts w:ascii="Foundry Form Sans" w:hAnsi="Foundry Form Sans" w:cs="Foundry Form Sans"/>
          <w:b/>
          <w:bCs/>
        </w:rPr>
      </w:pPr>
      <w:r w:rsidRPr="00A12DAF">
        <w:rPr>
          <w:rFonts w:ascii="Foundry Form Sans" w:hAnsi="Foundry Form Sans" w:cs="Foundry Form Sans"/>
          <w:b/>
          <w:bCs/>
        </w:rPr>
        <w:t>Planning and organising</w:t>
      </w:r>
    </w:p>
    <w:p w:rsidR="00CA2660" w:rsidRPr="00A12DAF" w:rsidRDefault="00CA2660" w:rsidP="00BF455B">
      <w:pPr>
        <w:pStyle w:val="BodyText"/>
        <w:rPr>
          <w:rFonts w:ascii="Foundry Form Sans" w:hAnsi="Foundry Form Sans" w:cs="Foundry Form Sans"/>
        </w:rPr>
      </w:pPr>
      <w:r w:rsidRPr="00A12DAF">
        <w:rPr>
          <w:rFonts w:ascii="Foundry Form Sans" w:hAnsi="Foundry Form Sans" w:cs="Foundry Form Sans"/>
        </w:rPr>
        <w:t>… is thinking ahead, managing time, priorities and risk, and developing structured and efficient approaches to deliver work on time and to a high standard.</w:t>
      </w:r>
    </w:p>
    <w:p w:rsidR="00CA2660" w:rsidRPr="00A12DAF" w:rsidRDefault="00CA2660" w:rsidP="00921CDB">
      <w:pPr>
        <w:pStyle w:val="BodyText"/>
        <w:ind w:left="360"/>
        <w:rPr>
          <w:rFonts w:ascii="Foundry Form Sans" w:hAnsi="Foundry Form Sans" w:cs="Foundry Form Sans"/>
          <w:u w:val="single"/>
        </w:rPr>
      </w:pPr>
    </w:p>
    <w:p w:rsidR="00CA2660" w:rsidRPr="00A12DAF" w:rsidRDefault="00CA2660" w:rsidP="00931F78">
      <w:pPr>
        <w:pStyle w:val="BodyText"/>
        <w:rPr>
          <w:rFonts w:ascii="Foundry Form Sans" w:hAnsi="Foundry Form Sans" w:cs="Foundry Form Sans"/>
          <w:u w:val="single"/>
        </w:rPr>
      </w:pPr>
      <w:r w:rsidRPr="00A12DAF">
        <w:rPr>
          <w:rFonts w:ascii="Foundry Form Sans" w:hAnsi="Foundry Form Sans" w:cs="Foundry Form Sans"/>
          <w:u w:val="single"/>
        </w:rPr>
        <w:t>Level 2 Indicators of effective performance</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Prioritises work in line with key team or project deliverables</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Makes contingency plans to account for changing work priorities, deadlines and milestones</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Identifies and consults with sponsors or stakeholders in planning work</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Pays close attention to detail, ensuring team’s work is delivered to a high standard</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Negotiates realistic timescales for work delivery, ensuring team deliverables can be met</w:t>
      </w:r>
    </w:p>
    <w:p w:rsidR="00CA2660" w:rsidRPr="00A12DAF" w:rsidRDefault="00CA2660" w:rsidP="00921CDB">
      <w:pPr>
        <w:pStyle w:val="BodyText2"/>
        <w:ind w:left="-40" w:right="113"/>
        <w:rPr>
          <w:rFonts w:ascii="Foundry Form Sans" w:hAnsi="Foundry Form Sans" w:cs="Foundry Form Sans"/>
          <w:b/>
          <w:bCs/>
          <w:color w:val="auto"/>
          <w:sz w:val="24"/>
          <w:szCs w:val="24"/>
        </w:rPr>
      </w:pPr>
    </w:p>
    <w:p w:rsidR="00CA2660" w:rsidRPr="00A12DAF" w:rsidRDefault="00CA2660" w:rsidP="00921CDB">
      <w:pPr>
        <w:pStyle w:val="BodyText2"/>
        <w:rPr>
          <w:rFonts w:ascii="Foundry Form Sans" w:hAnsi="Foundry Form Sans" w:cs="Foundry Form Sans"/>
          <w:b/>
          <w:bCs/>
          <w:color w:val="auto"/>
          <w:sz w:val="24"/>
          <w:szCs w:val="24"/>
        </w:rPr>
      </w:pPr>
      <w:r w:rsidRPr="00A12DAF">
        <w:rPr>
          <w:rFonts w:ascii="Foundry Form Sans" w:hAnsi="Foundry Form Sans" w:cs="Foundry Form Sans"/>
          <w:b/>
          <w:bCs/>
          <w:color w:val="auto"/>
          <w:sz w:val="24"/>
          <w:szCs w:val="24"/>
        </w:rPr>
        <w:t>Research and analysis</w:t>
      </w:r>
    </w:p>
    <w:p w:rsidR="00CA2660" w:rsidRPr="00A12DAF" w:rsidRDefault="00CA2660" w:rsidP="00921CDB">
      <w:pPr>
        <w:pStyle w:val="BodyText2"/>
        <w:rPr>
          <w:rFonts w:ascii="Foundry Form Sans" w:hAnsi="Foundry Form Sans" w:cs="Foundry Form Sans"/>
          <w:color w:val="auto"/>
          <w:sz w:val="24"/>
          <w:szCs w:val="24"/>
          <w:u w:val="single"/>
        </w:rPr>
      </w:pPr>
      <w:r w:rsidRPr="00A12DAF">
        <w:rPr>
          <w:rFonts w:ascii="Foundry Form Sans" w:hAnsi="Foundry Form Sans" w:cs="Foundry Form Sans"/>
          <w:color w:val="auto"/>
          <w:sz w:val="24"/>
          <w:szCs w:val="24"/>
        </w:rPr>
        <w:t>… is gathering intelligence (information, opinion and data) from varied sources, making sense of it, testing its validity and drawing conclusions that can lead to practical benefits.</w:t>
      </w:r>
    </w:p>
    <w:p w:rsidR="00CA2660" w:rsidRPr="00A12DAF" w:rsidRDefault="00CA2660" w:rsidP="00931F78">
      <w:pPr>
        <w:pStyle w:val="BodyText"/>
        <w:rPr>
          <w:rFonts w:ascii="Foundry Form Sans" w:hAnsi="Foundry Form Sans" w:cs="Foundry Form Sans"/>
          <w:u w:val="single"/>
        </w:rPr>
      </w:pPr>
      <w:r w:rsidRPr="00A12DAF">
        <w:rPr>
          <w:rFonts w:ascii="Foundry Form Sans" w:hAnsi="Foundry Form Sans" w:cs="Foundry Form Sans"/>
          <w:u w:val="single"/>
        </w:rPr>
        <w:t>Level 2 Indicators of effective performance</w:t>
      </w:r>
    </w:p>
    <w:p w:rsidR="00CA2660" w:rsidRPr="00A12DAF" w:rsidRDefault="00CA2660" w:rsidP="00921CDB">
      <w:pPr>
        <w:numPr>
          <w:ilvl w:val="0"/>
          <w:numId w:val="6"/>
        </w:numPr>
        <w:rPr>
          <w:rFonts w:ascii="Foundry Form Sans" w:hAnsi="Foundry Form Sans" w:cs="Foundry Form Sans"/>
          <w:sz w:val="24"/>
          <w:szCs w:val="24"/>
        </w:rPr>
      </w:pPr>
      <w:r w:rsidRPr="00A12DAF">
        <w:rPr>
          <w:rFonts w:ascii="Foundry Form Sans" w:hAnsi="Foundry Form Sans" w:cs="Foundry Form Sans"/>
          <w:sz w:val="24"/>
          <w:szCs w:val="24"/>
        </w:rPr>
        <w:t>Proactively seeks new information sources to progress research agendas and address gaps in knowledge</w:t>
      </w:r>
    </w:p>
    <w:p w:rsidR="00CA2660" w:rsidRPr="00A12DAF" w:rsidRDefault="00CA2660" w:rsidP="00921CDB">
      <w:pPr>
        <w:numPr>
          <w:ilvl w:val="0"/>
          <w:numId w:val="6"/>
        </w:numPr>
        <w:rPr>
          <w:rFonts w:ascii="Foundry Form Sans" w:hAnsi="Foundry Form Sans" w:cs="Foundry Form Sans"/>
          <w:sz w:val="24"/>
          <w:szCs w:val="24"/>
        </w:rPr>
      </w:pPr>
      <w:r w:rsidRPr="00A12DAF">
        <w:rPr>
          <w:rFonts w:ascii="Foundry Form Sans" w:hAnsi="Foundry Form Sans" w:cs="Foundry Form Sans"/>
          <w:sz w:val="24"/>
          <w:szCs w:val="24"/>
        </w:rPr>
        <w:t>Grasps limitations of or assumptions behind data sources, disregarding those that lack quality</w:t>
      </w:r>
    </w:p>
    <w:p w:rsidR="00CA2660" w:rsidRPr="00A12DAF" w:rsidRDefault="00CA2660" w:rsidP="00921CDB">
      <w:pPr>
        <w:numPr>
          <w:ilvl w:val="0"/>
          <w:numId w:val="6"/>
        </w:numPr>
        <w:rPr>
          <w:rFonts w:ascii="Foundry Form Sans" w:hAnsi="Foundry Form Sans" w:cs="Foundry Form Sans"/>
          <w:b/>
          <w:bCs/>
          <w:sz w:val="24"/>
          <w:szCs w:val="24"/>
        </w:rPr>
      </w:pPr>
      <w:r w:rsidRPr="00A12DAF">
        <w:rPr>
          <w:rFonts w:ascii="Foundry Form Sans" w:hAnsi="Foundry Form Sans" w:cs="Foundry Form Sans"/>
          <w:sz w:val="24"/>
          <w:szCs w:val="24"/>
        </w:rPr>
        <w:t>Analyses and integrates qualitative and quantitative data to find new insights</w:t>
      </w:r>
    </w:p>
    <w:p w:rsidR="00CA2660" w:rsidRPr="00A12DAF" w:rsidRDefault="00CA2660" w:rsidP="00921CDB">
      <w:pPr>
        <w:numPr>
          <w:ilvl w:val="0"/>
          <w:numId w:val="6"/>
        </w:numPr>
        <w:rPr>
          <w:rFonts w:ascii="Foundry Form Sans" w:hAnsi="Foundry Form Sans" w:cs="Foundry Form Sans"/>
          <w:b/>
          <w:bCs/>
          <w:sz w:val="24"/>
          <w:szCs w:val="24"/>
        </w:rPr>
      </w:pPr>
      <w:r w:rsidRPr="00A12DAF">
        <w:rPr>
          <w:rFonts w:ascii="Foundry Form Sans" w:hAnsi="Foundry Form Sans" w:cs="Foundry Form Sans"/>
          <w:sz w:val="24"/>
          <w:szCs w:val="24"/>
        </w:rPr>
        <w:t xml:space="preserve">Translates research outcomes into concise, meaningful reports </w:t>
      </w:r>
    </w:p>
    <w:p w:rsidR="00CA2660" w:rsidRPr="00A12DAF" w:rsidRDefault="00CA2660" w:rsidP="00BF455B">
      <w:pPr>
        <w:pStyle w:val="BodyText2"/>
        <w:widowControl/>
        <w:numPr>
          <w:ilvl w:val="0"/>
          <w:numId w:val="6"/>
        </w:numPr>
        <w:rPr>
          <w:rFonts w:ascii="Foundry Form Sans" w:hAnsi="Foundry Form Sans" w:cs="Foundry Form Sans"/>
          <w:color w:val="auto"/>
          <w:sz w:val="24"/>
          <w:szCs w:val="24"/>
        </w:rPr>
      </w:pPr>
      <w:r w:rsidRPr="00A12DAF">
        <w:rPr>
          <w:rFonts w:ascii="Foundry Form Sans" w:hAnsi="Foundry Form Sans" w:cs="Foundry Form Sans"/>
          <w:b/>
          <w:bCs/>
          <w:color w:val="auto"/>
          <w:sz w:val="24"/>
          <w:szCs w:val="24"/>
        </w:rPr>
        <w:t>I</w:t>
      </w:r>
      <w:r w:rsidRPr="00A12DAF">
        <w:rPr>
          <w:rFonts w:ascii="Foundry Form Sans" w:hAnsi="Foundry Form Sans" w:cs="Foundry Form Sans"/>
          <w:color w:val="auto"/>
          <w:sz w:val="24"/>
          <w:szCs w:val="24"/>
        </w:rPr>
        <w:t>dentifies relevant and practical research questions for the future</w:t>
      </w:r>
    </w:p>
    <w:p w:rsidR="00CA2660" w:rsidRPr="00A12DAF" w:rsidRDefault="00CA2660" w:rsidP="00921CDB">
      <w:pPr>
        <w:spacing w:after="120"/>
        <w:ind w:right="113"/>
        <w:rPr>
          <w:rFonts w:ascii="Foundry Form Sans" w:hAnsi="Foundry Form Sans" w:cs="Foundry Form Sans"/>
          <w:sz w:val="24"/>
          <w:szCs w:val="24"/>
        </w:rPr>
      </w:pPr>
    </w:p>
    <w:p w:rsidR="00CA2660" w:rsidRPr="00A12DAF" w:rsidRDefault="00CA2660" w:rsidP="00921CDB">
      <w:pPr>
        <w:pStyle w:val="Heading5"/>
        <w:rPr>
          <w:sz w:val="24"/>
          <w:szCs w:val="24"/>
        </w:rPr>
      </w:pPr>
      <w:r w:rsidRPr="00A12DAF">
        <w:rPr>
          <w:sz w:val="24"/>
          <w:szCs w:val="24"/>
        </w:rPr>
        <w:t>Decision making</w:t>
      </w:r>
    </w:p>
    <w:p w:rsidR="00CA2660" w:rsidRPr="00A12DAF" w:rsidRDefault="00CA2660" w:rsidP="00921CDB">
      <w:pPr>
        <w:rPr>
          <w:rFonts w:ascii="Foundry Form Sans" w:hAnsi="Foundry Form Sans" w:cs="Foundry Form Sans"/>
          <w:sz w:val="24"/>
          <w:szCs w:val="24"/>
        </w:rPr>
      </w:pPr>
      <w:r w:rsidRPr="00A12DAF">
        <w:rPr>
          <w:rFonts w:ascii="Foundry Form Sans" w:hAnsi="Foundry Form Sans" w:cs="Foundry Form Sans"/>
          <w:sz w:val="24"/>
          <w:szCs w:val="24"/>
        </w:rPr>
        <w:t xml:space="preserve">…is forming sound, evidence-based judgements, making choices, assessing risks to delivery, and taking accountability for results.  </w:t>
      </w:r>
    </w:p>
    <w:p w:rsidR="00CA2660" w:rsidRPr="00A12DAF" w:rsidRDefault="00CA2660" w:rsidP="00921CDB">
      <w:pPr>
        <w:rPr>
          <w:rFonts w:ascii="Foundry Form Sans" w:hAnsi="Foundry Form Sans" w:cs="Foundry Form Sans"/>
          <w:sz w:val="24"/>
          <w:szCs w:val="24"/>
        </w:rPr>
      </w:pPr>
    </w:p>
    <w:p w:rsidR="00CA2660" w:rsidRPr="00A12DAF" w:rsidRDefault="00CA2660" w:rsidP="00921CDB">
      <w:pPr>
        <w:rPr>
          <w:rFonts w:ascii="Foundry Form Sans" w:hAnsi="Foundry Form Sans" w:cs="Foundry Form Sans"/>
          <w:sz w:val="24"/>
          <w:szCs w:val="24"/>
          <w:u w:val="single"/>
        </w:rPr>
      </w:pPr>
      <w:r w:rsidRPr="00A12DAF">
        <w:rPr>
          <w:rFonts w:ascii="Foundry Form Sans" w:hAnsi="Foundry Form Sans" w:cs="Foundry Form Sans"/>
          <w:sz w:val="24"/>
          <w:szCs w:val="24"/>
          <w:u w:val="single"/>
        </w:rPr>
        <w:t>Level 2 indicators of effective performance</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 xml:space="preserve">Takes decisions as necessary </w:t>
      </w:r>
      <w:proofErr w:type="gramStart"/>
      <w:r w:rsidRPr="00A12DAF">
        <w:rPr>
          <w:rFonts w:ascii="Foundry Form Sans" w:hAnsi="Foundry Form Sans" w:cs="Foundry Form Sans"/>
          <w:sz w:val="24"/>
          <w:szCs w:val="24"/>
        </w:rPr>
        <w:t>on the basis of</w:t>
      </w:r>
      <w:proofErr w:type="gramEnd"/>
      <w:r w:rsidRPr="00A12DAF">
        <w:rPr>
          <w:rFonts w:ascii="Foundry Form Sans" w:hAnsi="Foundry Form Sans" w:cs="Foundry Form Sans"/>
          <w:sz w:val="24"/>
          <w:szCs w:val="24"/>
        </w:rPr>
        <w:t xml:space="preserve"> the information available </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Makes decisions without unnecessarily referring to others</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 xml:space="preserve">Involves and consults internal and external stakeholders early in decisions that impact </w:t>
      </w:r>
      <w:proofErr w:type="gramStart"/>
      <w:r w:rsidRPr="00A12DAF">
        <w:rPr>
          <w:rFonts w:ascii="Foundry Form Sans" w:hAnsi="Foundry Form Sans" w:cs="Foundry Form Sans"/>
          <w:sz w:val="24"/>
          <w:szCs w:val="24"/>
        </w:rPr>
        <w:t xml:space="preserve">them </w:t>
      </w:r>
      <w:r w:rsidRPr="00A12DAF">
        <w:rPr>
          <w:rFonts w:ascii="Foundry Form Sans" w:hAnsi="Foundry Form Sans" w:cs="Foundry Form Sans"/>
          <w:b/>
          <w:bCs/>
          <w:color w:val="008000"/>
          <w:sz w:val="24"/>
          <w:szCs w:val="24"/>
        </w:rPr>
        <w:t xml:space="preserve"> </w:t>
      </w:r>
      <w:r w:rsidRPr="00A12DAF">
        <w:rPr>
          <w:rFonts w:ascii="Foundry Form Sans" w:hAnsi="Foundry Form Sans" w:cs="Foundry Form Sans"/>
          <w:sz w:val="24"/>
          <w:szCs w:val="24"/>
        </w:rPr>
        <w:t>Identifies</w:t>
      </w:r>
      <w:proofErr w:type="gramEnd"/>
      <w:r w:rsidRPr="00A12DAF">
        <w:rPr>
          <w:rFonts w:ascii="Foundry Form Sans" w:hAnsi="Foundry Form Sans" w:cs="Foundry Form Sans"/>
          <w:sz w:val="24"/>
          <w:szCs w:val="24"/>
        </w:rPr>
        <w:t xml:space="preserve"> potential barriers to decision making and initiates action to move a situation forward</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Demonstrates awareness of the GLA’s decision making processes and how to use them</w:t>
      </w:r>
    </w:p>
    <w:p w:rsidR="00CA2660" w:rsidRPr="00A12DAF" w:rsidRDefault="00CA2660" w:rsidP="00921CDB">
      <w:pPr>
        <w:rPr>
          <w:rFonts w:ascii="Foundry Form Sans" w:hAnsi="Foundry Form Sans" w:cs="Foundry Form Sans"/>
          <w:sz w:val="24"/>
          <w:szCs w:val="24"/>
        </w:rPr>
      </w:pPr>
    </w:p>
    <w:p w:rsidR="00CA2660" w:rsidRPr="00A12DAF" w:rsidRDefault="00CA2660" w:rsidP="00921CDB">
      <w:pPr>
        <w:pStyle w:val="Heading5"/>
        <w:rPr>
          <w:sz w:val="24"/>
          <w:szCs w:val="24"/>
        </w:rPr>
      </w:pPr>
      <w:r w:rsidRPr="00A12DAF">
        <w:rPr>
          <w:sz w:val="24"/>
          <w:szCs w:val="24"/>
        </w:rPr>
        <w:t>Problem solving</w:t>
      </w:r>
    </w:p>
    <w:p w:rsidR="00CA2660" w:rsidRPr="00A12DAF" w:rsidRDefault="00CA2660" w:rsidP="00921CDB">
      <w:pPr>
        <w:rPr>
          <w:rFonts w:ascii="Foundry Form Sans" w:hAnsi="Foundry Form Sans" w:cs="Foundry Form Sans"/>
          <w:sz w:val="24"/>
          <w:szCs w:val="24"/>
        </w:rPr>
      </w:pPr>
      <w:r w:rsidRPr="00A12DAF">
        <w:rPr>
          <w:rFonts w:ascii="Foundry Form Sans" w:hAnsi="Foundry Form Sans" w:cs="Foundry Form Sans"/>
          <w:sz w:val="24"/>
          <w:szCs w:val="24"/>
        </w:rPr>
        <w:t xml:space="preserve">…is analysing and interpreting situations from a variety of view points and finding creative workable and timely solutions.  </w:t>
      </w:r>
    </w:p>
    <w:p w:rsidR="00CA2660" w:rsidRPr="00A12DAF" w:rsidRDefault="00CA2660" w:rsidP="00921CDB">
      <w:pPr>
        <w:rPr>
          <w:rFonts w:ascii="Foundry Form Sans" w:hAnsi="Foundry Form Sans" w:cs="Foundry Form Sans"/>
          <w:sz w:val="24"/>
          <w:szCs w:val="24"/>
        </w:rPr>
      </w:pPr>
    </w:p>
    <w:p w:rsidR="00CA2660" w:rsidRPr="00A12DAF" w:rsidRDefault="00CA2660" w:rsidP="00921CDB">
      <w:pPr>
        <w:rPr>
          <w:rFonts w:ascii="Foundry Form Sans" w:hAnsi="Foundry Form Sans" w:cs="Foundry Form Sans"/>
          <w:sz w:val="24"/>
          <w:szCs w:val="24"/>
          <w:u w:val="single"/>
          <w:lang w:eastAsia="en-GB"/>
        </w:rPr>
      </w:pPr>
      <w:r w:rsidRPr="00A12DAF">
        <w:rPr>
          <w:rFonts w:ascii="Foundry Form Sans" w:hAnsi="Foundry Form Sans" w:cs="Foundry Form Sans"/>
          <w:sz w:val="24"/>
          <w:szCs w:val="24"/>
          <w:u w:val="single"/>
          <w:lang w:eastAsia="en-GB"/>
        </w:rPr>
        <w:t>Level 2 indicators of effective performance</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Processes and distils a variety of information to understand a problem fully</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Proposes options for solutions to presented problems</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Builds on the ideas of others to encourage creative problem solving</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lastRenderedPageBreak/>
        <w:t>Thinks laterally about own work, considering different ways to approach problems</w:t>
      </w:r>
    </w:p>
    <w:p w:rsidR="00CA2660" w:rsidRPr="00A12DAF" w:rsidRDefault="00CA2660" w:rsidP="00BF455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Seeks the opinions and experiences of others to understand different approaches to problem solving</w:t>
      </w:r>
    </w:p>
    <w:p w:rsidR="00CA2660" w:rsidRPr="00A12DAF" w:rsidRDefault="00CA2660" w:rsidP="00921CDB">
      <w:pPr>
        <w:pStyle w:val="BodyText"/>
        <w:rPr>
          <w:rFonts w:ascii="Foundry Form Sans" w:hAnsi="Foundry Form Sans" w:cs="Foundry Form Sans"/>
        </w:rPr>
      </w:pPr>
    </w:p>
    <w:p w:rsidR="00CA2660" w:rsidRPr="005E5EBD" w:rsidRDefault="00CA2660" w:rsidP="00921CDB">
      <w:pPr>
        <w:rPr>
          <w:rFonts w:ascii="Foundry Form Sans" w:hAnsi="Foundry Form Sans"/>
          <w:sz w:val="24"/>
          <w:szCs w:val="24"/>
        </w:rPr>
      </w:pPr>
      <w:r w:rsidRPr="005E5EBD">
        <w:rPr>
          <w:rFonts w:ascii="Foundry Form Sans" w:hAnsi="Foundry Form Sans" w:cs="Foundry Form Sans"/>
          <w:bCs/>
          <w:i/>
          <w:iCs/>
          <w:sz w:val="24"/>
          <w:szCs w:val="24"/>
        </w:rPr>
        <w:t>Reasonable adjustment will be made to working arrangements to accommodate a person with a disability who othe</w:t>
      </w:r>
      <w:bookmarkStart w:id="0" w:name="_GoBack"/>
      <w:bookmarkEnd w:id="0"/>
      <w:r w:rsidRPr="005E5EBD">
        <w:rPr>
          <w:rFonts w:ascii="Foundry Form Sans" w:hAnsi="Foundry Form Sans" w:cs="Foundry Form Sans"/>
          <w:bCs/>
          <w:i/>
          <w:iCs/>
          <w:sz w:val="24"/>
          <w:szCs w:val="24"/>
        </w:rPr>
        <w:t>rwise would be prevented from undertaking the work.</w:t>
      </w:r>
    </w:p>
    <w:sectPr w:rsidR="00CA2660" w:rsidRPr="005E5EBD" w:rsidSect="00BF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351"/>
    <w:multiLevelType w:val="hybridMultilevel"/>
    <w:tmpl w:val="0F5C8BA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1DEA55A2"/>
    <w:multiLevelType w:val="hybridMultilevel"/>
    <w:tmpl w:val="D0F25E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357A7E"/>
    <w:multiLevelType w:val="hybridMultilevel"/>
    <w:tmpl w:val="700277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7E6D00"/>
    <w:multiLevelType w:val="hybridMultilevel"/>
    <w:tmpl w:val="C62C004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5617D63"/>
    <w:multiLevelType w:val="hybridMultilevel"/>
    <w:tmpl w:val="4B24176E"/>
    <w:lvl w:ilvl="0" w:tplc="0A640282">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937456D"/>
    <w:multiLevelType w:val="hybridMultilevel"/>
    <w:tmpl w:val="1B18C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C704AEF"/>
    <w:multiLevelType w:val="hybridMultilevel"/>
    <w:tmpl w:val="38BAB9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2D4714"/>
    <w:multiLevelType w:val="hybridMultilevel"/>
    <w:tmpl w:val="173CD4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F571BB8"/>
    <w:multiLevelType w:val="hybridMultilevel"/>
    <w:tmpl w:val="387E87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772B02EA"/>
    <w:multiLevelType w:val="hybridMultilevel"/>
    <w:tmpl w:val="EEE424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A79592C"/>
    <w:multiLevelType w:val="hybridMultilevel"/>
    <w:tmpl w:val="7522FC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2"/>
  </w:num>
  <w:num w:numId="4">
    <w:abstractNumId w:val="10"/>
  </w:num>
  <w:num w:numId="5">
    <w:abstractNumId w:val="3"/>
  </w:num>
  <w:num w:numId="6">
    <w:abstractNumId w:val="7"/>
  </w:num>
  <w:num w:numId="7">
    <w:abstractNumId w:val="1"/>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30"/>
    <w:rsid w:val="00021472"/>
    <w:rsid w:val="00052260"/>
    <w:rsid w:val="00082B27"/>
    <w:rsid w:val="000D1256"/>
    <w:rsid w:val="00132A19"/>
    <w:rsid w:val="001E2F06"/>
    <w:rsid w:val="001F259A"/>
    <w:rsid w:val="00212B84"/>
    <w:rsid w:val="002672A1"/>
    <w:rsid w:val="0027246D"/>
    <w:rsid w:val="002A4EE7"/>
    <w:rsid w:val="002A5CF8"/>
    <w:rsid w:val="002B0C42"/>
    <w:rsid w:val="002B476E"/>
    <w:rsid w:val="002C074E"/>
    <w:rsid w:val="002C4088"/>
    <w:rsid w:val="002F46E1"/>
    <w:rsid w:val="003063B6"/>
    <w:rsid w:val="003134B6"/>
    <w:rsid w:val="00334507"/>
    <w:rsid w:val="00352ABF"/>
    <w:rsid w:val="003B19EB"/>
    <w:rsid w:val="003C0DE4"/>
    <w:rsid w:val="003C0EFA"/>
    <w:rsid w:val="0045353D"/>
    <w:rsid w:val="00456FA9"/>
    <w:rsid w:val="004C6EAF"/>
    <w:rsid w:val="004E6DF3"/>
    <w:rsid w:val="00502B2D"/>
    <w:rsid w:val="00582E71"/>
    <w:rsid w:val="005A62D8"/>
    <w:rsid w:val="005A680C"/>
    <w:rsid w:val="005E5EBD"/>
    <w:rsid w:val="005F116E"/>
    <w:rsid w:val="00600367"/>
    <w:rsid w:val="00650A30"/>
    <w:rsid w:val="00652C32"/>
    <w:rsid w:val="00734A30"/>
    <w:rsid w:val="00767930"/>
    <w:rsid w:val="007F419D"/>
    <w:rsid w:val="00814EB5"/>
    <w:rsid w:val="00845D2F"/>
    <w:rsid w:val="008627E7"/>
    <w:rsid w:val="00862D31"/>
    <w:rsid w:val="00891809"/>
    <w:rsid w:val="008E4BCB"/>
    <w:rsid w:val="00921CDB"/>
    <w:rsid w:val="00931F78"/>
    <w:rsid w:val="00933DD8"/>
    <w:rsid w:val="00943E77"/>
    <w:rsid w:val="00977D57"/>
    <w:rsid w:val="0099280F"/>
    <w:rsid w:val="009C1988"/>
    <w:rsid w:val="00A12DAF"/>
    <w:rsid w:val="00A535AE"/>
    <w:rsid w:val="00AD5439"/>
    <w:rsid w:val="00AE0A42"/>
    <w:rsid w:val="00AF211F"/>
    <w:rsid w:val="00BA1967"/>
    <w:rsid w:val="00BB6AA6"/>
    <w:rsid w:val="00BD274C"/>
    <w:rsid w:val="00BD7266"/>
    <w:rsid w:val="00BF455B"/>
    <w:rsid w:val="00C6242F"/>
    <w:rsid w:val="00CA2660"/>
    <w:rsid w:val="00CB0304"/>
    <w:rsid w:val="00CF36F1"/>
    <w:rsid w:val="00D824E1"/>
    <w:rsid w:val="00DB2A18"/>
    <w:rsid w:val="00E4523E"/>
    <w:rsid w:val="00E90060"/>
    <w:rsid w:val="00EE095E"/>
    <w:rsid w:val="00FA6ABD"/>
    <w:rsid w:val="00FE68B9"/>
    <w:rsid w:val="00FF5CC4"/>
    <w:rsid w:val="00FF629E"/>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E2763"/>
  <w15:docId w15:val="{98F5AE59-72E9-473F-89F4-98C2BCDA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0A30"/>
    <w:rPr>
      <w:sz w:val="20"/>
      <w:szCs w:val="20"/>
      <w:lang w:eastAsia="en-US"/>
    </w:rPr>
  </w:style>
  <w:style w:type="paragraph" w:styleId="Heading4">
    <w:name w:val="heading 4"/>
    <w:basedOn w:val="Normal"/>
    <w:next w:val="Normal"/>
    <w:link w:val="Heading4Char"/>
    <w:uiPriority w:val="99"/>
    <w:qFormat/>
    <w:rsid w:val="00650A30"/>
    <w:pPr>
      <w:keepNext/>
      <w:spacing w:before="240"/>
      <w:jc w:val="center"/>
      <w:outlineLvl w:val="3"/>
    </w:pPr>
    <w:rPr>
      <w:rFonts w:ascii="Foundry Form Sans" w:hAnsi="Foundry Form Sans" w:cs="Foundry Form Sans"/>
      <w:sz w:val="36"/>
      <w:szCs w:val="36"/>
    </w:rPr>
  </w:style>
  <w:style w:type="paragraph" w:styleId="Heading5">
    <w:name w:val="heading 5"/>
    <w:basedOn w:val="Normal"/>
    <w:next w:val="Normal"/>
    <w:link w:val="Heading5Char"/>
    <w:uiPriority w:val="99"/>
    <w:qFormat/>
    <w:rsid w:val="00650A30"/>
    <w:pPr>
      <w:keepNext/>
      <w:outlineLvl w:val="4"/>
    </w:pPr>
    <w:rPr>
      <w:rFonts w:ascii="Foundry Form Sans" w:hAnsi="Foundry Form Sans" w:cs="Foundry Form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50A30"/>
    <w:rPr>
      <w:rFonts w:ascii="Foundry Form Sans" w:hAnsi="Foundry Form Sans" w:cs="Foundry Form Sans"/>
      <w:sz w:val="36"/>
      <w:szCs w:val="36"/>
      <w:lang w:eastAsia="en-US"/>
    </w:rPr>
  </w:style>
  <w:style w:type="character" w:customStyle="1" w:styleId="Heading5Char">
    <w:name w:val="Heading 5 Char"/>
    <w:basedOn w:val="DefaultParagraphFont"/>
    <w:link w:val="Heading5"/>
    <w:uiPriority w:val="99"/>
    <w:locked/>
    <w:rsid w:val="00650A30"/>
    <w:rPr>
      <w:rFonts w:ascii="Foundry Form Sans" w:hAnsi="Foundry Form Sans" w:cs="Foundry Form Sans"/>
      <w:b/>
      <w:bCs/>
      <w:sz w:val="32"/>
      <w:szCs w:val="32"/>
      <w:lang w:eastAsia="en-US"/>
    </w:rPr>
  </w:style>
  <w:style w:type="paragraph" w:styleId="BodyText">
    <w:name w:val="Body Text"/>
    <w:basedOn w:val="Normal"/>
    <w:link w:val="BodyTextChar"/>
    <w:uiPriority w:val="99"/>
    <w:rsid w:val="00650A30"/>
    <w:rPr>
      <w:sz w:val="24"/>
      <w:szCs w:val="24"/>
    </w:rPr>
  </w:style>
  <w:style w:type="character" w:customStyle="1" w:styleId="BodyTextChar">
    <w:name w:val="Body Text Char"/>
    <w:basedOn w:val="DefaultParagraphFont"/>
    <w:link w:val="BodyText"/>
    <w:uiPriority w:val="99"/>
    <w:locked/>
    <w:rsid w:val="00650A30"/>
    <w:rPr>
      <w:sz w:val="24"/>
      <w:szCs w:val="24"/>
      <w:lang w:eastAsia="en-US"/>
    </w:rPr>
  </w:style>
  <w:style w:type="paragraph" w:styleId="Title">
    <w:name w:val="Title"/>
    <w:basedOn w:val="Normal"/>
    <w:link w:val="TitleChar"/>
    <w:uiPriority w:val="99"/>
    <w:qFormat/>
    <w:rsid w:val="00650A30"/>
    <w:pPr>
      <w:jc w:val="center"/>
    </w:pPr>
    <w:rPr>
      <w:rFonts w:ascii="Arial" w:hAnsi="Arial" w:cs="Arial"/>
      <w:b/>
      <w:bCs/>
      <w:sz w:val="32"/>
      <w:szCs w:val="32"/>
    </w:rPr>
  </w:style>
  <w:style w:type="character" w:customStyle="1" w:styleId="TitleChar">
    <w:name w:val="Title Char"/>
    <w:basedOn w:val="DefaultParagraphFont"/>
    <w:link w:val="Title"/>
    <w:uiPriority w:val="99"/>
    <w:locked/>
    <w:rsid w:val="00650A30"/>
    <w:rPr>
      <w:rFonts w:ascii="Arial" w:hAnsi="Arial" w:cs="Arial"/>
      <w:b/>
      <w:bCs/>
      <w:sz w:val="32"/>
      <w:szCs w:val="32"/>
      <w:lang w:eastAsia="en-US"/>
    </w:rPr>
  </w:style>
  <w:style w:type="paragraph" w:styleId="BodyText2">
    <w:name w:val="Body Text 2"/>
    <w:basedOn w:val="Normal"/>
    <w:link w:val="BodyText2Char"/>
    <w:uiPriority w:val="99"/>
    <w:rsid w:val="00650A30"/>
    <w:pPr>
      <w:widowControl w:val="0"/>
    </w:pPr>
    <w:rPr>
      <w:rFonts w:ascii="Arial" w:hAnsi="Arial" w:cs="Arial"/>
      <w:color w:val="000000"/>
    </w:rPr>
  </w:style>
  <w:style w:type="character" w:customStyle="1" w:styleId="BodyText2Char">
    <w:name w:val="Body Text 2 Char"/>
    <w:basedOn w:val="DefaultParagraphFont"/>
    <w:link w:val="BodyText2"/>
    <w:uiPriority w:val="99"/>
    <w:locked/>
    <w:rsid w:val="00650A30"/>
    <w:rPr>
      <w:rFonts w:ascii="Arial" w:hAnsi="Arial" w:cs="Arial"/>
      <w:snapToGrid w:val="0"/>
      <w:color w:val="000000"/>
      <w:lang w:eastAsia="en-US"/>
    </w:rPr>
  </w:style>
  <w:style w:type="paragraph" w:styleId="BalloonText">
    <w:name w:val="Balloon Text"/>
    <w:basedOn w:val="Normal"/>
    <w:link w:val="BalloonTextChar"/>
    <w:uiPriority w:val="99"/>
    <w:semiHidden/>
    <w:rsid w:val="00650A30"/>
    <w:rPr>
      <w:rFonts w:ascii="Tahoma" w:hAnsi="Tahoma" w:cs="Tahoma"/>
      <w:sz w:val="16"/>
      <w:szCs w:val="16"/>
    </w:rPr>
  </w:style>
  <w:style w:type="character" w:customStyle="1" w:styleId="BalloonTextChar">
    <w:name w:val="Balloon Text Char"/>
    <w:basedOn w:val="DefaultParagraphFont"/>
    <w:link w:val="BalloonText"/>
    <w:uiPriority w:val="99"/>
    <w:locked/>
    <w:rsid w:val="00650A30"/>
    <w:rPr>
      <w:rFonts w:ascii="Tahoma" w:hAnsi="Tahoma" w:cs="Tahoma"/>
      <w:sz w:val="16"/>
      <w:szCs w:val="16"/>
      <w:lang w:eastAsia="en-US"/>
    </w:rPr>
  </w:style>
  <w:style w:type="paragraph" w:styleId="ListParagraph">
    <w:name w:val="List Paragraph"/>
    <w:basedOn w:val="Normal"/>
    <w:uiPriority w:val="99"/>
    <w:qFormat/>
    <w:rsid w:val="00650A30"/>
    <w:pPr>
      <w:ind w:left="720"/>
    </w:pPr>
  </w:style>
  <w:style w:type="character" w:styleId="CommentReference">
    <w:name w:val="annotation reference"/>
    <w:basedOn w:val="DefaultParagraphFont"/>
    <w:uiPriority w:val="99"/>
    <w:semiHidden/>
    <w:rsid w:val="004C6EAF"/>
    <w:rPr>
      <w:sz w:val="16"/>
      <w:szCs w:val="16"/>
    </w:rPr>
  </w:style>
  <w:style w:type="paragraph" w:styleId="CommentText">
    <w:name w:val="annotation text"/>
    <w:basedOn w:val="Normal"/>
    <w:link w:val="CommentTextChar"/>
    <w:uiPriority w:val="99"/>
    <w:semiHidden/>
    <w:rsid w:val="004C6EAF"/>
  </w:style>
  <w:style w:type="character" w:customStyle="1" w:styleId="CommentTextChar">
    <w:name w:val="Comment Text Char"/>
    <w:basedOn w:val="DefaultParagraphFont"/>
    <w:link w:val="CommentText"/>
    <w:uiPriority w:val="99"/>
    <w:locked/>
    <w:rsid w:val="004C6EAF"/>
    <w:rPr>
      <w:lang w:eastAsia="en-US"/>
    </w:rPr>
  </w:style>
  <w:style w:type="paragraph" w:styleId="CommentSubject">
    <w:name w:val="annotation subject"/>
    <w:basedOn w:val="CommentText"/>
    <w:next w:val="CommentText"/>
    <w:link w:val="CommentSubjectChar"/>
    <w:uiPriority w:val="99"/>
    <w:semiHidden/>
    <w:rsid w:val="004C6EAF"/>
    <w:rPr>
      <w:b/>
      <w:bCs/>
    </w:rPr>
  </w:style>
  <w:style w:type="character" w:customStyle="1" w:styleId="CommentSubjectChar">
    <w:name w:val="Comment Subject Char"/>
    <w:basedOn w:val="CommentTextChar"/>
    <w:link w:val="CommentSubject"/>
    <w:uiPriority w:val="99"/>
    <w:locked/>
    <w:rsid w:val="004C6E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vt:lpstr>
    </vt:vector>
  </TitlesOfParts>
  <Company>Greater London Authority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Ruby Casey-Knight</dc:creator>
  <cp:lastModifiedBy>Andrew Baxter</cp:lastModifiedBy>
  <cp:revision>4</cp:revision>
  <dcterms:created xsi:type="dcterms:W3CDTF">2017-07-25T16:54:00Z</dcterms:created>
  <dcterms:modified xsi:type="dcterms:W3CDTF">2017-07-26T12:43:00Z</dcterms:modified>
</cp:coreProperties>
</file>