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DC07" w14:textId="77777777" w:rsidR="00F46C68" w:rsidRPr="004F4608" w:rsidRDefault="00F46C68" w:rsidP="00F46C68">
      <w:pPr>
        <w:pStyle w:val="Heading3"/>
        <w:rPr>
          <w:bCs w:val="0"/>
          <w:sz w:val="28"/>
          <w:szCs w:val="28"/>
        </w:rPr>
      </w:pPr>
      <w:r w:rsidRPr="004F4608">
        <w:rPr>
          <w:bCs w:val="0"/>
          <w:sz w:val="28"/>
          <w:szCs w:val="28"/>
        </w:rPr>
        <w:t>Job Description</w:t>
      </w:r>
    </w:p>
    <w:p w14:paraId="35F3B995" w14:textId="77777777" w:rsidR="00F46C68" w:rsidRDefault="00F46C68" w:rsidP="00F46C68">
      <w:pPr>
        <w:rPr>
          <w:b/>
        </w:rPr>
      </w:pPr>
    </w:p>
    <w:p w14:paraId="62235614" w14:textId="4666C5A1" w:rsidR="00F46C68" w:rsidRDefault="00F46C68" w:rsidP="00F46C68">
      <w:pPr>
        <w:rPr>
          <w:b/>
        </w:rPr>
      </w:pPr>
      <w:r>
        <w:rPr>
          <w:b/>
        </w:rPr>
        <w:t>Job title:</w:t>
      </w:r>
      <w:r>
        <w:rPr>
          <w:b/>
        </w:rPr>
        <w:tab/>
      </w:r>
      <w:r w:rsidR="00051883">
        <w:rPr>
          <w:b/>
        </w:rPr>
        <w:t xml:space="preserve">Digital </w:t>
      </w:r>
      <w:r w:rsidR="00BE4ADF">
        <w:rPr>
          <w:b/>
        </w:rPr>
        <w:t>Video</w:t>
      </w:r>
      <w:r w:rsidR="0023018C">
        <w:rPr>
          <w:b/>
        </w:rPr>
        <w:t xml:space="preserve"> </w:t>
      </w:r>
      <w:r w:rsidR="00957478">
        <w:rPr>
          <w:b/>
        </w:rPr>
        <w:t xml:space="preserve">Producer, </w:t>
      </w:r>
      <w:r w:rsidR="00051883">
        <w:rPr>
          <w:b/>
        </w:rPr>
        <w:t>London Assembly</w:t>
      </w:r>
    </w:p>
    <w:p w14:paraId="00AA2C04" w14:textId="77777777" w:rsidR="00F46C68" w:rsidRDefault="00F46C68" w:rsidP="00F46C68">
      <w:pPr>
        <w:rPr>
          <w:b/>
        </w:rPr>
      </w:pPr>
    </w:p>
    <w:p w14:paraId="1B673467" w14:textId="42485DF0" w:rsidR="00F46C68" w:rsidRDefault="00F46C68" w:rsidP="00F46C68">
      <w:pPr>
        <w:rPr>
          <w:b/>
        </w:rPr>
      </w:pPr>
      <w:r>
        <w:rPr>
          <w:b/>
        </w:rPr>
        <w:t>Grade:</w:t>
      </w:r>
      <w:r>
        <w:rPr>
          <w:b/>
        </w:rPr>
        <w:tab/>
      </w:r>
      <w:r w:rsidR="0084036B">
        <w:rPr>
          <w:b/>
        </w:rPr>
        <w:tab/>
      </w:r>
      <w:r w:rsidR="00BE4ADF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57478">
        <w:rPr>
          <w:b/>
        </w:rPr>
        <w:tab/>
      </w:r>
      <w:r>
        <w:rPr>
          <w:b/>
        </w:rPr>
        <w:t xml:space="preserve">Post Number:  </w:t>
      </w:r>
      <w:r w:rsidR="00BE4ADF" w:rsidRPr="00BE4ADF">
        <w:rPr>
          <w:b/>
        </w:rPr>
        <w:t>GLA3736</w:t>
      </w:r>
    </w:p>
    <w:p w14:paraId="61520791" w14:textId="77777777" w:rsidR="00F46C68" w:rsidRDefault="00F46C68" w:rsidP="00F46C68">
      <w:pPr>
        <w:rPr>
          <w:b/>
        </w:rPr>
      </w:pPr>
    </w:p>
    <w:p w14:paraId="22F93B34" w14:textId="77777777" w:rsidR="00F46C68" w:rsidRDefault="001A4FEE" w:rsidP="00F46C68">
      <w:pPr>
        <w:ind w:right="-1186"/>
        <w:rPr>
          <w:b/>
        </w:rPr>
      </w:pPr>
      <w:r>
        <w:rPr>
          <w:b/>
        </w:rPr>
        <w:t>Directorate:   Secretariat</w:t>
      </w:r>
    </w:p>
    <w:p w14:paraId="4E60FCE0" w14:textId="77777777" w:rsidR="00F46C68" w:rsidRDefault="00F46C68" w:rsidP="00F46C68">
      <w:pPr>
        <w:ind w:right="-1186"/>
        <w:rPr>
          <w:b/>
        </w:rPr>
      </w:pPr>
    </w:p>
    <w:p w14:paraId="79D2060C" w14:textId="563DB599" w:rsidR="00F46C68" w:rsidRDefault="00F46C68" w:rsidP="00F46C68">
      <w:pPr>
        <w:ind w:right="-1186"/>
        <w:rPr>
          <w:b/>
        </w:rPr>
      </w:pPr>
      <w:r>
        <w:rPr>
          <w:b/>
        </w:rPr>
        <w:t>Unit:</w:t>
      </w:r>
      <w:r>
        <w:rPr>
          <w:b/>
        </w:rPr>
        <w:tab/>
      </w:r>
      <w:r>
        <w:rPr>
          <w:b/>
        </w:rPr>
        <w:tab/>
      </w:r>
      <w:r w:rsidR="00BE4ADF">
        <w:rPr>
          <w:b/>
        </w:rPr>
        <w:t>Assembly Communications</w:t>
      </w:r>
    </w:p>
    <w:p w14:paraId="53C3F666" w14:textId="77777777" w:rsidR="00607A75" w:rsidRPr="00607A75" w:rsidRDefault="00607A75" w:rsidP="00A35307"/>
    <w:p w14:paraId="1FD07B34" w14:textId="77777777" w:rsidR="00F46C68" w:rsidRDefault="00F46C68" w:rsidP="00A35307">
      <w:pPr>
        <w:pStyle w:val="Heading2"/>
        <w:spacing w:after="120"/>
        <w:jc w:val="left"/>
        <w:rPr>
          <w:rFonts w:ascii="Foundry Form Sans" w:hAnsi="Foundry Form Sans"/>
          <w:szCs w:val="24"/>
        </w:rPr>
      </w:pPr>
      <w:r w:rsidRPr="00CC684E">
        <w:rPr>
          <w:rFonts w:ascii="Foundry Form Sans" w:hAnsi="Foundry Form Sans"/>
          <w:szCs w:val="24"/>
        </w:rPr>
        <w:t xml:space="preserve">Job purpose </w:t>
      </w:r>
    </w:p>
    <w:p w14:paraId="2FC8B843" w14:textId="6F462250" w:rsidR="004C2AA9" w:rsidRDefault="00051883" w:rsidP="0023018C">
      <w:pPr>
        <w:spacing w:after="120"/>
        <w:rPr>
          <w:rFonts w:cs="Arial"/>
          <w:szCs w:val="24"/>
        </w:rPr>
      </w:pPr>
      <w:r w:rsidRPr="00051883">
        <w:t>To lead the</w:t>
      </w:r>
      <w:r w:rsidR="004C2AA9">
        <w:t xml:space="preserve"> London</w:t>
      </w:r>
      <w:r w:rsidR="0023018C">
        <w:t xml:space="preserve"> Assembly</w:t>
      </w:r>
      <w:r w:rsidRPr="00051883">
        <w:t xml:space="preserve"> digital/video projects</w:t>
      </w:r>
      <w:r w:rsidR="004C2AA9">
        <w:t xml:space="preserve"> with a view to </w:t>
      </w:r>
      <w:r w:rsidR="0045755D">
        <w:t xml:space="preserve">enhancing video content on </w:t>
      </w:r>
      <w:r w:rsidR="004C2AA9">
        <w:t>the Assembly</w:t>
      </w:r>
      <w:r w:rsidR="0045755D">
        <w:t xml:space="preserve"> website</w:t>
      </w:r>
      <w:r w:rsidR="0023018C">
        <w:t xml:space="preserve"> </w:t>
      </w:r>
      <w:r w:rsidR="0045755D">
        <w:t xml:space="preserve">and on social </w:t>
      </w:r>
      <w:r w:rsidR="00D061F7">
        <w:t>media and</w:t>
      </w:r>
      <w:r w:rsidR="004C2AA9">
        <w:rPr>
          <w:rFonts w:cs="Arial"/>
          <w:szCs w:val="24"/>
        </w:rPr>
        <w:t xml:space="preserve"> maximising</w:t>
      </w:r>
      <w:r w:rsidR="004C2AA9" w:rsidRPr="004C2AA9">
        <w:rPr>
          <w:rFonts w:cs="Arial"/>
          <w:szCs w:val="24"/>
        </w:rPr>
        <w:t xml:space="preserve"> the impact of the Assembly's work. </w:t>
      </w:r>
    </w:p>
    <w:p w14:paraId="104083F5" w14:textId="77777777" w:rsidR="00CA27E7" w:rsidRPr="004C2AA9" w:rsidRDefault="00CA27E7" w:rsidP="0023018C">
      <w:pPr>
        <w:spacing w:after="120"/>
        <w:rPr>
          <w:rFonts w:cs="Arial"/>
          <w:szCs w:val="24"/>
        </w:rPr>
      </w:pPr>
    </w:p>
    <w:p w14:paraId="5809D8A9" w14:textId="77777777" w:rsidR="00F46C68" w:rsidRPr="00CC684E" w:rsidRDefault="00F46C68" w:rsidP="00A35307">
      <w:pPr>
        <w:numPr>
          <w:ilvl w:val="12"/>
          <w:numId w:val="0"/>
        </w:numPr>
        <w:spacing w:after="120"/>
        <w:rPr>
          <w:b/>
          <w:szCs w:val="24"/>
        </w:rPr>
      </w:pPr>
      <w:r w:rsidRPr="00CC684E">
        <w:rPr>
          <w:b/>
          <w:szCs w:val="24"/>
        </w:rPr>
        <w:t>Principal accountabilities</w:t>
      </w:r>
    </w:p>
    <w:p w14:paraId="0CC9BC9D" w14:textId="2515C199" w:rsidR="00F46C68" w:rsidRDefault="00051883" w:rsidP="003C60D9">
      <w:pPr>
        <w:pStyle w:val="ListParagraph"/>
        <w:numPr>
          <w:ilvl w:val="0"/>
          <w:numId w:val="1"/>
        </w:numPr>
        <w:spacing w:after="120"/>
      </w:pPr>
      <w:r>
        <w:t>Providing</w:t>
      </w:r>
      <w:r w:rsidR="00852E99">
        <w:t xml:space="preserve"> support to </w:t>
      </w:r>
      <w:r>
        <w:t xml:space="preserve">the External </w:t>
      </w:r>
      <w:r w:rsidR="0045755D">
        <w:t xml:space="preserve">Communications </w:t>
      </w:r>
      <w:r>
        <w:t xml:space="preserve">team in the </w:t>
      </w:r>
      <w:r w:rsidR="00CA27E7">
        <w:t>production of video and</w:t>
      </w:r>
      <w:r>
        <w:t xml:space="preserve"> photographic content for all digital platforms.</w:t>
      </w:r>
    </w:p>
    <w:p w14:paraId="3255981F" w14:textId="77777777" w:rsidR="003C60D9" w:rsidRDefault="003C60D9" w:rsidP="003C60D9">
      <w:pPr>
        <w:pStyle w:val="ListParagraph"/>
        <w:spacing w:after="120"/>
      </w:pPr>
    </w:p>
    <w:p w14:paraId="18B9A2DF" w14:textId="76E14D65" w:rsidR="00051883" w:rsidRDefault="00051883" w:rsidP="00051883">
      <w:pPr>
        <w:pStyle w:val="ListParagraph"/>
        <w:numPr>
          <w:ilvl w:val="0"/>
          <w:numId w:val="1"/>
        </w:numPr>
        <w:spacing w:after="120"/>
      </w:pPr>
      <w:r>
        <w:t xml:space="preserve">Being the key contact point for stakeholders on video aspects of the </w:t>
      </w:r>
      <w:r w:rsidR="00CD0DD3">
        <w:t xml:space="preserve">London </w:t>
      </w:r>
      <w:r>
        <w:t xml:space="preserve">Assembly’s work. This will include liaising with various departments within City Hall </w:t>
      </w:r>
      <w:r w:rsidR="0045755D">
        <w:t xml:space="preserve">and with external stakeholders </w:t>
      </w:r>
      <w:r>
        <w:t xml:space="preserve">to </w:t>
      </w:r>
      <w:r w:rsidR="00CD0DD3">
        <w:t xml:space="preserve">secure authorisation for </w:t>
      </w:r>
      <w:r>
        <w:t>filming.</w:t>
      </w:r>
      <w:r>
        <w:br/>
      </w:r>
    </w:p>
    <w:p w14:paraId="24AA150A" w14:textId="762EA315" w:rsidR="00051883" w:rsidRDefault="00051883" w:rsidP="00051883">
      <w:pPr>
        <w:pStyle w:val="ListParagraph"/>
        <w:numPr>
          <w:ilvl w:val="0"/>
          <w:numId w:val="1"/>
        </w:numPr>
        <w:spacing w:after="120"/>
      </w:pPr>
      <w:r>
        <w:t xml:space="preserve">Travel around London accompanying </w:t>
      </w:r>
      <w:r w:rsidR="00CD0DD3">
        <w:t xml:space="preserve">London </w:t>
      </w:r>
      <w:r>
        <w:t xml:space="preserve">Assembly Committees on site visits, filming the activities and interviews for </w:t>
      </w:r>
      <w:r w:rsidR="0045755D">
        <w:t>the final video output and taking photo</w:t>
      </w:r>
      <w:r w:rsidR="004C2AA9">
        <w:t>graph</w:t>
      </w:r>
      <w:r w:rsidR="0045755D">
        <w:t xml:space="preserve">s on occasion for </w:t>
      </w:r>
      <w:r>
        <w:t>social media.</w:t>
      </w:r>
      <w:r>
        <w:br/>
      </w:r>
    </w:p>
    <w:p w14:paraId="2BF5D3CF" w14:textId="4EB0E0F9" w:rsidR="00051883" w:rsidRDefault="00051883" w:rsidP="00051883">
      <w:pPr>
        <w:pStyle w:val="ListParagraph"/>
        <w:numPr>
          <w:ilvl w:val="0"/>
          <w:numId w:val="1"/>
        </w:numPr>
        <w:spacing w:after="120"/>
      </w:pPr>
      <w:r>
        <w:t>Us</w:t>
      </w:r>
      <w:r w:rsidR="0045755D">
        <w:t>e</w:t>
      </w:r>
      <w:r>
        <w:t xml:space="preserve"> </w:t>
      </w:r>
      <w:r w:rsidR="0045755D">
        <w:t>editing</w:t>
      </w:r>
      <w:r>
        <w:t xml:space="preserve"> software to </w:t>
      </w:r>
      <w:r w:rsidR="0045755D">
        <w:t xml:space="preserve">produce </w:t>
      </w:r>
      <w:r>
        <w:t>short, compelling video outputs for use on the Assembly website and social media feeds.</w:t>
      </w:r>
      <w:r>
        <w:br/>
      </w:r>
    </w:p>
    <w:p w14:paraId="10CB885D" w14:textId="77777777" w:rsidR="00051883" w:rsidRDefault="00051883" w:rsidP="00051883">
      <w:pPr>
        <w:pStyle w:val="ListParagraph"/>
        <w:numPr>
          <w:ilvl w:val="0"/>
          <w:numId w:val="1"/>
        </w:numPr>
        <w:spacing w:after="120"/>
      </w:pPr>
      <w:r>
        <w:t>Uploading video and photography to the various internal filing systems, as well as external hosts like YouTube.</w:t>
      </w:r>
      <w:r>
        <w:br/>
      </w:r>
    </w:p>
    <w:p w14:paraId="6B3B1B4B" w14:textId="63ADF46B" w:rsidR="00051883" w:rsidRDefault="00051883" w:rsidP="00051883">
      <w:pPr>
        <w:pStyle w:val="ListParagraph"/>
        <w:numPr>
          <w:ilvl w:val="0"/>
          <w:numId w:val="1"/>
        </w:numPr>
        <w:spacing w:after="120"/>
      </w:pPr>
      <w:r>
        <w:t xml:space="preserve">Using video-editing tools </w:t>
      </w:r>
      <w:r w:rsidR="0045755D">
        <w:t>for</w:t>
      </w:r>
      <w:r>
        <w:t xml:space="preserve"> the cutting and sharing of Assembly meeting webcast clips on Twitter, Facebook and other platforms</w:t>
      </w:r>
      <w:r w:rsidR="0045755D">
        <w:t>, to raise the profile of Assembly meetings.</w:t>
      </w:r>
      <w:r>
        <w:br/>
      </w:r>
    </w:p>
    <w:p w14:paraId="035A6016" w14:textId="5753FE55" w:rsidR="00051883" w:rsidRDefault="0023018C" w:rsidP="0023018C">
      <w:pPr>
        <w:pStyle w:val="ListParagraph"/>
        <w:numPr>
          <w:ilvl w:val="0"/>
          <w:numId w:val="1"/>
        </w:numPr>
        <w:spacing w:after="120"/>
      </w:pPr>
      <w:r>
        <w:t>Identifying</w:t>
      </w:r>
      <w:r w:rsidR="00C52B37">
        <w:t xml:space="preserve"> health and safety</w:t>
      </w:r>
      <w:r>
        <w:t xml:space="preserve"> </w:t>
      </w:r>
      <w:r w:rsidR="00C52B37">
        <w:t xml:space="preserve">risks associated with filming at site visits and feeding them into the Secretariat’s risk register. </w:t>
      </w:r>
    </w:p>
    <w:p w14:paraId="4974ACE1" w14:textId="77777777" w:rsidR="00C52B37" w:rsidRDefault="00C52B37" w:rsidP="00C52B37">
      <w:pPr>
        <w:pStyle w:val="ListParagraph"/>
        <w:spacing w:after="120"/>
      </w:pPr>
    </w:p>
    <w:p w14:paraId="3D24D74D" w14:textId="72B39ADA" w:rsidR="00051883" w:rsidRDefault="00D45297" w:rsidP="00051883">
      <w:pPr>
        <w:pStyle w:val="ListParagraph"/>
        <w:numPr>
          <w:ilvl w:val="0"/>
          <w:numId w:val="1"/>
        </w:numPr>
        <w:spacing w:after="120"/>
      </w:pPr>
      <w:r>
        <w:t>Keeping up to date with current affairs and issues which affect the Assembly.</w:t>
      </w:r>
      <w:r>
        <w:br/>
      </w:r>
    </w:p>
    <w:p w14:paraId="05F17827" w14:textId="725805EC" w:rsidR="0045755D" w:rsidRDefault="00051883" w:rsidP="00051883">
      <w:pPr>
        <w:pStyle w:val="ListParagraph"/>
        <w:numPr>
          <w:ilvl w:val="0"/>
          <w:numId w:val="1"/>
        </w:numPr>
        <w:spacing w:after="120"/>
      </w:pPr>
      <w:r>
        <w:t>Supporting social and digital media activity, using Twitter, Facebook and email marketing</w:t>
      </w:r>
      <w:r w:rsidR="0045755D">
        <w:t xml:space="preserve"> by engaging with the </w:t>
      </w:r>
      <w:r w:rsidR="00C52B37">
        <w:t>colleagues</w:t>
      </w:r>
      <w:r w:rsidR="0045755D">
        <w:t xml:space="preserve"> and providing appropriate links.</w:t>
      </w:r>
    </w:p>
    <w:p w14:paraId="5EE52269" w14:textId="77777777" w:rsidR="00C52B37" w:rsidRDefault="00C52B37" w:rsidP="00C52B37">
      <w:pPr>
        <w:pStyle w:val="ListParagraph"/>
        <w:spacing w:after="120"/>
      </w:pPr>
    </w:p>
    <w:p w14:paraId="49647E5D" w14:textId="3D3E6203" w:rsidR="00F46C68" w:rsidRDefault="0045755D" w:rsidP="00051883">
      <w:pPr>
        <w:pStyle w:val="ListParagraph"/>
        <w:numPr>
          <w:ilvl w:val="0"/>
          <w:numId w:val="1"/>
        </w:numPr>
        <w:spacing w:after="120"/>
      </w:pPr>
      <w:r>
        <w:t>Wor</w:t>
      </w:r>
      <w:r w:rsidR="004C2AA9">
        <w:t>k</w:t>
      </w:r>
      <w:r>
        <w:t>ing closely with the Communications Officer – Digital, to ensure animations and infographics are fully utilised within video packages.</w:t>
      </w:r>
      <w:r w:rsidR="00446E76">
        <w:br/>
      </w:r>
    </w:p>
    <w:p w14:paraId="2F508403" w14:textId="77777777" w:rsidR="001A4FEE" w:rsidRDefault="001A4FEE" w:rsidP="00A35307">
      <w:pPr>
        <w:pStyle w:val="ListParagraph"/>
      </w:pPr>
    </w:p>
    <w:p w14:paraId="3EE532D8" w14:textId="77777777" w:rsidR="00F46C68" w:rsidRDefault="00F46C68" w:rsidP="00A35307"/>
    <w:p w14:paraId="79DC5471" w14:textId="77777777" w:rsidR="00F46C68" w:rsidRPr="00CC684E" w:rsidRDefault="00F46C68" w:rsidP="00A35307">
      <w:pPr>
        <w:pStyle w:val="Heading4"/>
        <w:jc w:val="left"/>
        <w:rPr>
          <w:szCs w:val="24"/>
        </w:rPr>
      </w:pPr>
      <w:r w:rsidRPr="00CC684E">
        <w:rPr>
          <w:szCs w:val="24"/>
        </w:rPr>
        <w:lastRenderedPageBreak/>
        <w:t>Key relationships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129"/>
      </w:tblGrid>
      <w:tr w:rsidR="00F46C68" w14:paraId="3D42C981" w14:textId="77777777" w:rsidTr="00F33020">
        <w:tc>
          <w:tcPr>
            <w:tcW w:w="2376" w:type="dxa"/>
          </w:tcPr>
          <w:p w14:paraId="14A07A4D" w14:textId="77777777" w:rsidR="00F46C68" w:rsidRDefault="00F46C68" w:rsidP="00A35307">
            <w:pPr>
              <w:pStyle w:val="BodyText"/>
              <w:spacing w:after="120"/>
              <w:rPr>
                <w:rFonts w:ascii="Foundry Form Sans" w:hAnsi="Foundry Form Sans"/>
              </w:rPr>
            </w:pPr>
            <w:r>
              <w:rPr>
                <w:rFonts w:ascii="Foundry Form Sans" w:hAnsi="Foundry Form Sans"/>
              </w:rPr>
              <w:t>Accountable to:</w:t>
            </w:r>
          </w:p>
        </w:tc>
        <w:tc>
          <w:tcPr>
            <w:tcW w:w="6129" w:type="dxa"/>
          </w:tcPr>
          <w:p w14:paraId="6B808A33" w14:textId="188DD60B" w:rsidR="00F46C68" w:rsidRDefault="00BE4ADF" w:rsidP="0045755D">
            <w:pPr>
              <w:pStyle w:val="BodyText"/>
              <w:spacing w:after="120"/>
              <w:rPr>
                <w:rFonts w:ascii="Foundry Form Sans" w:hAnsi="Foundry Form Sans"/>
                <w:bCs/>
              </w:rPr>
            </w:pPr>
            <w:r>
              <w:rPr>
                <w:rFonts w:ascii="Foundry Form Sans" w:hAnsi="Foundry Form Sans"/>
                <w:bCs/>
              </w:rPr>
              <w:t>Head of Assembly Communications</w:t>
            </w:r>
          </w:p>
        </w:tc>
      </w:tr>
      <w:tr w:rsidR="00F46C68" w14:paraId="3DE5CCC1" w14:textId="77777777" w:rsidTr="00F33020">
        <w:tc>
          <w:tcPr>
            <w:tcW w:w="2376" w:type="dxa"/>
          </w:tcPr>
          <w:p w14:paraId="463920D2" w14:textId="77777777" w:rsidR="00F46C68" w:rsidRDefault="00F46C68" w:rsidP="00A35307">
            <w:pPr>
              <w:pStyle w:val="BodyText"/>
              <w:spacing w:after="120"/>
              <w:rPr>
                <w:rFonts w:ascii="Foundry Form Sans" w:hAnsi="Foundry Form Sans"/>
              </w:rPr>
            </w:pPr>
            <w:r>
              <w:rPr>
                <w:rFonts w:ascii="Foundry Form Sans" w:hAnsi="Foundry Form Sans"/>
              </w:rPr>
              <w:t>Accountable for:</w:t>
            </w:r>
            <w:r>
              <w:rPr>
                <w:rFonts w:ascii="Foundry Form Sans" w:hAnsi="Foundry Form Sans"/>
              </w:rPr>
              <w:tab/>
            </w:r>
          </w:p>
        </w:tc>
        <w:tc>
          <w:tcPr>
            <w:tcW w:w="6129" w:type="dxa"/>
          </w:tcPr>
          <w:p w14:paraId="18ACF2A8" w14:textId="77777777" w:rsidR="00F46C68" w:rsidRDefault="003C60D9" w:rsidP="00A35307">
            <w:pPr>
              <w:pStyle w:val="BodyText"/>
              <w:spacing w:after="120"/>
              <w:rPr>
                <w:rFonts w:ascii="Foundry Form Sans" w:hAnsi="Foundry Form Sans"/>
                <w:bCs/>
              </w:rPr>
            </w:pPr>
            <w:r>
              <w:rPr>
                <w:rFonts w:ascii="Foundry Form Sans" w:hAnsi="Foundry Form Sans"/>
                <w:bCs/>
              </w:rPr>
              <w:t xml:space="preserve">No line management </w:t>
            </w:r>
            <w:r w:rsidR="009E4F44">
              <w:rPr>
                <w:rFonts w:ascii="Foundry Form Sans" w:hAnsi="Foundry Form Sans"/>
                <w:bCs/>
              </w:rPr>
              <w:t>responsibilities</w:t>
            </w:r>
          </w:p>
        </w:tc>
      </w:tr>
      <w:tr w:rsidR="00F46C68" w14:paraId="75F72638" w14:textId="77777777" w:rsidTr="00F33020">
        <w:tc>
          <w:tcPr>
            <w:tcW w:w="2376" w:type="dxa"/>
          </w:tcPr>
          <w:p w14:paraId="33ECEB05" w14:textId="77777777" w:rsidR="00F46C68" w:rsidRDefault="00F46C68" w:rsidP="00A35307">
            <w:pPr>
              <w:pStyle w:val="BodyText"/>
              <w:spacing w:after="120"/>
              <w:rPr>
                <w:rFonts w:ascii="Foundry Form Sans" w:hAnsi="Foundry Form Sans"/>
              </w:rPr>
            </w:pPr>
            <w:r>
              <w:rPr>
                <w:rFonts w:ascii="Foundry Form Sans" w:hAnsi="Foundry Form Sans"/>
              </w:rPr>
              <w:t>Principal contacts:</w:t>
            </w:r>
          </w:p>
        </w:tc>
        <w:tc>
          <w:tcPr>
            <w:tcW w:w="6129" w:type="dxa"/>
          </w:tcPr>
          <w:p w14:paraId="2300EFAB" w14:textId="7CCFF0DA" w:rsidR="00F46C68" w:rsidRDefault="00051883" w:rsidP="0045755D">
            <w:pPr>
              <w:pStyle w:val="BodyTextIndent"/>
              <w:spacing w:after="120"/>
              <w:ind w:left="0" w:firstLine="0"/>
              <w:rPr>
                <w:rFonts w:ascii="Foundry Form Sans" w:hAnsi="Foundry Form Sans"/>
                <w:bCs/>
              </w:rPr>
            </w:pPr>
            <w:r>
              <w:rPr>
                <w:rFonts w:ascii="Foundry Form Sans" w:hAnsi="Foundry Form Sans"/>
                <w:bCs/>
              </w:rPr>
              <w:t xml:space="preserve">External </w:t>
            </w:r>
            <w:r w:rsidR="0045755D">
              <w:rPr>
                <w:rFonts w:ascii="Foundry Form Sans" w:hAnsi="Foundry Form Sans"/>
                <w:bCs/>
              </w:rPr>
              <w:t xml:space="preserve">Communications </w:t>
            </w:r>
            <w:r>
              <w:rPr>
                <w:rFonts w:ascii="Foundry Form Sans" w:hAnsi="Foundry Form Sans"/>
                <w:bCs/>
              </w:rPr>
              <w:t xml:space="preserve">team; </w:t>
            </w:r>
            <w:r w:rsidR="003273AA">
              <w:rPr>
                <w:rFonts w:ascii="Foundry Form Sans" w:hAnsi="Foundry Form Sans"/>
                <w:bCs/>
              </w:rPr>
              <w:t xml:space="preserve">Assembly Members; Head of </w:t>
            </w:r>
            <w:r>
              <w:rPr>
                <w:rFonts w:ascii="Foundry Form Sans" w:hAnsi="Foundry Form Sans"/>
                <w:bCs/>
              </w:rPr>
              <w:t>Scrutiny</w:t>
            </w:r>
            <w:r w:rsidR="003273AA">
              <w:rPr>
                <w:rFonts w:ascii="Foundry Form Sans" w:hAnsi="Foundry Form Sans"/>
                <w:bCs/>
              </w:rPr>
              <w:t xml:space="preserve">; </w:t>
            </w:r>
            <w:r>
              <w:rPr>
                <w:rFonts w:ascii="Foundry Form Sans" w:hAnsi="Foundry Form Sans"/>
                <w:bCs/>
              </w:rPr>
              <w:t>Scrutiny staff</w:t>
            </w:r>
          </w:p>
        </w:tc>
      </w:tr>
    </w:tbl>
    <w:p w14:paraId="25822DE7" w14:textId="77777777" w:rsidR="001C23DD" w:rsidRDefault="001C23DD" w:rsidP="00A35307">
      <w:pPr>
        <w:spacing w:after="120"/>
        <w:rPr>
          <w:b/>
        </w:rPr>
      </w:pPr>
    </w:p>
    <w:p w14:paraId="0E27BEA1" w14:textId="77777777" w:rsidR="00F46C68" w:rsidRPr="00E65AAD" w:rsidRDefault="001C23DD" w:rsidP="00A35307">
      <w:pPr>
        <w:spacing w:after="120"/>
        <w:rPr>
          <w:b/>
          <w:sz w:val="28"/>
          <w:u w:val="single"/>
        </w:rPr>
      </w:pPr>
      <w:r w:rsidRPr="00E65AAD">
        <w:rPr>
          <w:b/>
          <w:sz w:val="28"/>
          <w:u w:val="single"/>
        </w:rPr>
        <w:t>P</w:t>
      </w:r>
      <w:r w:rsidR="00F46C68" w:rsidRPr="00E65AAD">
        <w:rPr>
          <w:b/>
          <w:sz w:val="28"/>
          <w:u w:val="single"/>
        </w:rPr>
        <w:t>erson specification</w:t>
      </w:r>
    </w:p>
    <w:p w14:paraId="25C8D372" w14:textId="77777777" w:rsidR="00F46C68" w:rsidRDefault="00F46C68" w:rsidP="00A35307">
      <w:pPr>
        <w:spacing w:after="120"/>
      </w:pPr>
    </w:p>
    <w:p w14:paraId="246495A8" w14:textId="77777777" w:rsidR="003273AA" w:rsidRPr="009E4F44" w:rsidRDefault="00F46C68" w:rsidP="009E4F44">
      <w:pPr>
        <w:rPr>
          <w:b/>
        </w:rPr>
      </w:pPr>
      <w:r w:rsidRPr="006801AE">
        <w:rPr>
          <w:b/>
        </w:rPr>
        <w:t xml:space="preserve">Technical requirements/experience/qualifications </w:t>
      </w:r>
      <w:r w:rsidR="003273AA">
        <w:br/>
      </w:r>
    </w:p>
    <w:p w14:paraId="41CE0E52" w14:textId="5488D563" w:rsidR="00051883" w:rsidRDefault="001C23DD" w:rsidP="00A35307">
      <w:pPr>
        <w:pStyle w:val="ListParagraph"/>
        <w:numPr>
          <w:ilvl w:val="0"/>
          <w:numId w:val="2"/>
        </w:numPr>
      </w:pPr>
      <w:r>
        <w:t xml:space="preserve">Good understanding of and experience in using </w:t>
      </w:r>
      <w:r w:rsidR="00051883">
        <w:t>camera/sound/lighting equipment and editing software</w:t>
      </w:r>
      <w:r w:rsidR="005F5DFC">
        <w:t xml:space="preserve"> </w:t>
      </w:r>
    </w:p>
    <w:p w14:paraId="190833C9" w14:textId="77777777" w:rsidR="00051883" w:rsidRDefault="00051883" w:rsidP="00051883">
      <w:pPr>
        <w:pStyle w:val="ListParagraph"/>
      </w:pPr>
    </w:p>
    <w:p w14:paraId="6AB7713F" w14:textId="2AD96680" w:rsidR="003273AA" w:rsidRDefault="0045755D" w:rsidP="00A35307">
      <w:pPr>
        <w:pStyle w:val="ListParagraph"/>
        <w:numPr>
          <w:ilvl w:val="0"/>
          <w:numId w:val="2"/>
        </w:numPr>
      </w:pPr>
      <w:r>
        <w:t xml:space="preserve"> Ability to proficiently use </w:t>
      </w:r>
      <w:r w:rsidR="00051883">
        <w:t xml:space="preserve"> </w:t>
      </w:r>
      <w:r w:rsidR="001C23DD">
        <w:t xml:space="preserve">social media including </w:t>
      </w:r>
      <w:r>
        <w:t xml:space="preserve">uploading video and content to </w:t>
      </w:r>
      <w:r w:rsidR="001C23DD">
        <w:t xml:space="preserve">Facebook, Twitter, YouTube. </w:t>
      </w:r>
      <w:r w:rsidR="00446E76">
        <w:t xml:space="preserve"> </w:t>
      </w:r>
      <w:r w:rsidR="003273AA">
        <w:br/>
      </w:r>
    </w:p>
    <w:p w14:paraId="1A8065D1" w14:textId="77777777" w:rsidR="003273AA" w:rsidRDefault="003273AA" w:rsidP="003273AA">
      <w:pPr>
        <w:pStyle w:val="ListParagraph"/>
        <w:numPr>
          <w:ilvl w:val="0"/>
          <w:numId w:val="2"/>
        </w:numPr>
      </w:pPr>
      <w:r>
        <w:t xml:space="preserve">Ability to use a </w:t>
      </w:r>
      <w:r w:rsidR="00F63B9B">
        <w:t>range</w:t>
      </w:r>
      <w:r>
        <w:t xml:space="preserve"> of </w:t>
      </w:r>
      <w:r w:rsidR="006E4842">
        <w:t xml:space="preserve">office </w:t>
      </w:r>
      <w:r w:rsidR="001C23DD">
        <w:t>software and media.</w:t>
      </w:r>
      <w:r>
        <w:br/>
      </w:r>
    </w:p>
    <w:p w14:paraId="4ACEB3EE" w14:textId="77777777" w:rsidR="003273AA" w:rsidRDefault="00446E76" w:rsidP="003273AA">
      <w:pPr>
        <w:pStyle w:val="ListParagraph"/>
        <w:numPr>
          <w:ilvl w:val="0"/>
          <w:numId w:val="2"/>
        </w:numPr>
      </w:pPr>
      <w:r>
        <w:t xml:space="preserve">A good understanding of politics generally and, in particular, the skills to be able to work effectively with sensitive and complex issues. </w:t>
      </w:r>
      <w:r w:rsidR="003273AA">
        <w:br/>
      </w:r>
    </w:p>
    <w:p w14:paraId="76D9835B" w14:textId="77777777" w:rsidR="003273AA" w:rsidRPr="003273AA" w:rsidRDefault="003273AA" w:rsidP="003273AA">
      <w:pPr>
        <w:pStyle w:val="ListParagraph"/>
        <w:numPr>
          <w:ilvl w:val="0"/>
          <w:numId w:val="2"/>
        </w:numPr>
      </w:pPr>
      <w:r>
        <w:t xml:space="preserve">An understanding of the GLA’s commitment to equality of opportunity and </w:t>
      </w:r>
      <w:r w:rsidR="00F63B9B">
        <w:t>valuing</w:t>
      </w:r>
      <w:r>
        <w:t xml:space="preserve"> diversity, and the ability to translate this into action. </w:t>
      </w:r>
    </w:p>
    <w:p w14:paraId="1191285B" w14:textId="77777777" w:rsidR="00F46C68" w:rsidRDefault="00F46C68" w:rsidP="00F46C68">
      <w:pPr>
        <w:spacing w:after="120"/>
        <w:jc w:val="both"/>
      </w:pPr>
    </w:p>
    <w:p w14:paraId="08C5ECED" w14:textId="77777777" w:rsidR="00F46C68" w:rsidRDefault="00F46C68" w:rsidP="00F46C68">
      <w:pPr>
        <w:rPr>
          <w:b/>
        </w:rPr>
      </w:pPr>
      <w:r w:rsidRPr="006801AE">
        <w:rPr>
          <w:b/>
        </w:rPr>
        <w:t>Behavioural competencies</w:t>
      </w:r>
    </w:p>
    <w:p w14:paraId="2C1EE69D" w14:textId="77777777" w:rsidR="00F46C68" w:rsidRDefault="00F46C68" w:rsidP="00F46C68">
      <w:pPr>
        <w:spacing w:after="120"/>
        <w:jc w:val="both"/>
      </w:pPr>
    </w:p>
    <w:p w14:paraId="3881D673" w14:textId="77777777" w:rsidR="004D036E" w:rsidRDefault="004D036E" w:rsidP="00F46C68">
      <w:pPr>
        <w:spacing w:after="120"/>
        <w:jc w:val="both"/>
        <w:rPr>
          <w:b/>
          <w:i/>
        </w:rPr>
      </w:pPr>
      <w:r w:rsidRPr="004D036E">
        <w:rPr>
          <w:b/>
          <w:i/>
        </w:rPr>
        <w:t>Stakeholder Focus</w:t>
      </w:r>
    </w:p>
    <w:p w14:paraId="680CC334" w14:textId="77777777" w:rsidR="004D036E" w:rsidRDefault="004D036E" w:rsidP="00F46C68">
      <w:pPr>
        <w:spacing w:after="120"/>
        <w:jc w:val="both"/>
      </w:pPr>
      <w:r>
        <w:t xml:space="preserve">….. is consulting </w:t>
      </w:r>
      <w:r w:rsidR="00F63B9B">
        <w:t>with,</w:t>
      </w:r>
      <w:r>
        <w:t xml:space="preserve"> listening to and understand the ne</w:t>
      </w:r>
      <w:r w:rsidR="00CE6E64">
        <w:t>e</w:t>
      </w:r>
      <w:r>
        <w:t xml:space="preserve">ds of those our work impacts and using this knowledge to shape what we do and manage others’ expectations. </w:t>
      </w:r>
    </w:p>
    <w:p w14:paraId="4CA9A264" w14:textId="77777777" w:rsidR="004D036E" w:rsidRDefault="004D036E" w:rsidP="00F46C68">
      <w:pPr>
        <w:spacing w:after="120"/>
        <w:jc w:val="both"/>
      </w:pPr>
    </w:p>
    <w:p w14:paraId="22C7C3E0" w14:textId="77777777" w:rsidR="004D036E" w:rsidRDefault="004D036E" w:rsidP="00F46C68">
      <w:pPr>
        <w:spacing w:after="120"/>
        <w:jc w:val="both"/>
      </w:pPr>
      <w:r>
        <w:t>Level 1 indicators of effective performance:</w:t>
      </w:r>
    </w:p>
    <w:p w14:paraId="64B23147" w14:textId="77777777" w:rsidR="004D036E" w:rsidRDefault="004D036E" w:rsidP="004D036E">
      <w:pPr>
        <w:pStyle w:val="ListParagraph"/>
        <w:numPr>
          <w:ilvl w:val="0"/>
          <w:numId w:val="3"/>
        </w:numPr>
        <w:spacing w:after="120"/>
        <w:jc w:val="both"/>
      </w:pPr>
      <w:r>
        <w:t>Listens to requirements without making assumptions</w:t>
      </w:r>
    </w:p>
    <w:p w14:paraId="231966E2" w14:textId="77777777" w:rsidR="004D036E" w:rsidRDefault="004D036E" w:rsidP="004D036E">
      <w:pPr>
        <w:pStyle w:val="ListParagraph"/>
        <w:numPr>
          <w:ilvl w:val="0"/>
          <w:numId w:val="3"/>
        </w:numPr>
        <w:spacing w:after="120"/>
        <w:jc w:val="both"/>
      </w:pPr>
      <w:r>
        <w:t>Demonstrates an enthusiastic and ‘can do attitude’ to all requests</w:t>
      </w:r>
    </w:p>
    <w:p w14:paraId="208CA9C5" w14:textId="77777777" w:rsidR="004D036E" w:rsidRDefault="004D036E" w:rsidP="004D036E">
      <w:pPr>
        <w:pStyle w:val="ListParagraph"/>
        <w:numPr>
          <w:ilvl w:val="0"/>
          <w:numId w:val="3"/>
        </w:numPr>
        <w:spacing w:after="120"/>
        <w:jc w:val="both"/>
      </w:pPr>
      <w:r>
        <w:t>Provides timely, accurate and personalised responses</w:t>
      </w:r>
    </w:p>
    <w:p w14:paraId="4F59B0D9" w14:textId="77777777" w:rsidR="004D036E" w:rsidRDefault="004D036E" w:rsidP="004D036E">
      <w:pPr>
        <w:pStyle w:val="ListParagraph"/>
        <w:numPr>
          <w:ilvl w:val="0"/>
          <w:numId w:val="3"/>
        </w:numPr>
        <w:spacing w:after="120"/>
        <w:jc w:val="both"/>
      </w:pPr>
      <w:r>
        <w:t>Provides a polite and helpful first point of contact for stakeholders</w:t>
      </w:r>
    </w:p>
    <w:p w14:paraId="3EE25D35" w14:textId="77777777" w:rsidR="004D036E" w:rsidRDefault="004D036E" w:rsidP="004D036E">
      <w:pPr>
        <w:pStyle w:val="ListParagraph"/>
        <w:numPr>
          <w:ilvl w:val="0"/>
          <w:numId w:val="3"/>
        </w:numPr>
        <w:spacing w:after="120"/>
        <w:jc w:val="both"/>
      </w:pPr>
      <w:r>
        <w:t>Learns from feedback to improve personal service to others</w:t>
      </w:r>
    </w:p>
    <w:p w14:paraId="0D1E9512" w14:textId="77777777" w:rsidR="004D036E" w:rsidRDefault="004D036E" w:rsidP="004D036E">
      <w:pPr>
        <w:spacing w:after="120"/>
        <w:jc w:val="both"/>
      </w:pPr>
    </w:p>
    <w:p w14:paraId="69498CB5" w14:textId="77777777" w:rsidR="004D036E" w:rsidRDefault="004D036E" w:rsidP="004D036E">
      <w:pPr>
        <w:spacing w:after="120"/>
        <w:jc w:val="both"/>
        <w:rPr>
          <w:b/>
          <w:i/>
        </w:rPr>
      </w:pPr>
      <w:r>
        <w:rPr>
          <w:b/>
          <w:i/>
        </w:rPr>
        <w:t>Communicating and Influencing</w:t>
      </w:r>
    </w:p>
    <w:p w14:paraId="45A7EC4C" w14:textId="77777777" w:rsidR="004D036E" w:rsidRDefault="004D036E" w:rsidP="004D036E">
      <w:pPr>
        <w:spacing w:after="120"/>
        <w:jc w:val="both"/>
      </w:pPr>
      <w:r>
        <w:t xml:space="preserve">….. is presenting information and </w:t>
      </w:r>
      <w:r w:rsidR="00F63B9B">
        <w:t>arguments</w:t>
      </w:r>
      <w:r>
        <w:t xml:space="preserve"> clearly and convincingly so that others see us as credible and articulate and engage with us</w:t>
      </w:r>
    </w:p>
    <w:p w14:paraId="5620F2B4" w14:textId="77777777" w:rsidR="004D036E" w:rsidRDefault="004D036E" w:rsidP="004D036E">
      <w:pPr>
        <w:spacing w:after="120"/>
        <w:jc w:val="both"/>
      </w:pPr>
      <w:r>
        <w:t xml:space="preserve">Level 1 </w:t>
      </w:r>
      <w:r w:rsidR="00F63B9B">
        <w:t>indicators</w:t>
      </w:r>
      <w:r>
        <w:t xml:space="preserve"> of effective performance:</w:t>
      </w:r>
    </w:p>
    <w:p w14:paraId="490BCE17" w14:textId="77777777" w:rsidR="004D036E" w:rsidRDefault="004D036E" w:rsidP="004D036E">
      <w:pPr>
        <w:pStyle w:val="ListParagraph"/>
        <w:numPr>
          <w:ilvl w:val="0"/>
          <w:numId w:val="4"/>
        </w:numPr>
        <w:spacing w:after="120"/>
        <w:jc w:val="both"/>
      </w:pPr>
      <w:r>
        <w:t>Repr</w:t>
      </w:r>
      <w:r w:rsidR="00CE6E64">
        <w:t>e</w:t>
      </w:r>
      <w:r>
        <w:t>sents self and team positively within the organisation</w:t>
      </w:r>
    </w:p>
    <w:p w14:paraId="64EE1501" w14:textId="77777777" w:rsidR="004D036E" w:rsidRDefault="004D036E" w:rsidP="004D036E">
      <w:pPr>
        <w:pStyle w:val="ListParagraph"/>
        <w:numPr>
          <w:ilvl w:val="0"/>
          <w:numId w:val="4"/>
        </w:numPr>
        <w:spacing w:after="120"/>
        <w:jc w:val="both"/>
      </w:pPr>
      <w:r>
        <w:t>Speaks and writes clearly and succinctly using appropriate language that is easy to understand</w:t>
      </w:r>
    </w:p>
    <w:p w14:paraId="1CA8C09A" w14:textId="77777777" w:rsidR="004D036E" w:rsidRDefault="004D036E" w:rsidP="004D036E">
      <w:pPr>
        <w:pStyle w:val="ListParagraph"/>
        <w:numPr>
          <w:ilvl w:val="0"/>
          <w:numId w:val="4"/>
        </w:numPr>
        <w:spacing w:after="120"/>
        <w:jc w:val="both"/>
      </w:pPr>
      <w:r>
        <w:lastRenderedPageBreak/>
        <w:t>Considers the target audience, adapting style and communicat</w:t>
      </w:r>
      <w:r w:rsidR="00CE6E64">
        <w:t>ion method accordingly</w:t>
      </w:r>
    </w:p>
    <w:p w14:paraId="10F18361" w14:textId="77777777" w:rsidR="004D036E" w:rsidRDefault="004D036E" w:rsidP="004D036E">
      <w:pPr>
        <w:pStyle w:val="ListParagraph"/>
        <w:numPr>
          <w:ilvl w:val="0"/>
          <w:numId w:val="4"/>
        </w:numPr>
        <w:spacing w:after="120"/>
        <w:jc w:val="both"/>
      </w:pPr>
      <w:r>
        <w:t xml:space="preserve">Communicates persuasively </w:t>
      </w:r>
      <w:r w:rsidR="00CE6E64">
        <w:t>and confidently</w:t>
      </w:r>
    </w:p>
    <w:p w14:paraId="1C49D2E4" w14:textId="77777777" w:rsidR="004D036E" w:rsidRDefault="00CE6E64" w:rsidP="004D036E">
      <w:pPr>
        <w:pStyle w:val="ListParagraph"/>
        <w:numPr>
          <w:ilvl w:val="0"/>
          <w:numId w:val="4"/>
        </w:numPr>
        <w:spacing w:after="120"/>
        <w:jc w:val="both"/>
      </w:pPr>
      <w:r>
        <w:t>Checks for understanding</w:t>
      </w:r>
    </w:p>
    <w:p w14:paraId="572C4693" w14:textId="77777777" w:rsidR="00CE6E64" w:rsidRDefault="00CE6E64" w:rsidP="00CE6E64">
      <w:pPr>
        <w:spacing w:after="120"/>
        <w:jc w:val="both"/>
      </w:pPr>
    </w:p>
    <w:p w14:paraId="589C55C2" w14:textId="77777777" w:rsidR="00CE6E64" w:rsidRDefault="00CE6E64" w:rsidP="00CE6E64">
      <w:pPr>
        <w:spacing w:after="120"/>
        <w:jc w:val="both"/>
        <w:rPr>
          <w:b/>
          <w:i/>
        </w:rPr>
      </w:pPr>
      <w:r>
        <w:rPr>
          <w:b/>
          <w:i/>
        </w:rPr>
        <w:t>Planning and Organising</w:t>
      </w:r>
    </w:p>
    <w:p w14:paraId="0092E3F3" w14:textId="77777777" w:rsidR="00CE6E64" w:rsidRDefault="00CE6E64" w:rsidP="00CE6E64">
      <w:pPr>
        <w:spacing w:after="120"/>
        <w:jc w:val="both"/>
      </w:pPr>
      <w:r>
        <w:t xml:space="preserve">….. is thinking ahead, managing time, </w:t>
      </w:r>
      <w:r w:rsidR="00F63B9B">
        <w:t>priorities</w:t>
      </w:r>
      <w:r>
        <w:t xml:space="preserve"> and risk, and developing structured and efficient approaches to deliver work on time and to a high standard</w:t>
      </w:r>
    </w:p>
    <w:p w14:paraId="1E3F870B" w14:textId="77777777" w:rsidR="00CE6E64" w:rsidRDefault="00CE6E64" w:rsidP="00CE6E64">
      <w:pPr>
        <w:spacing w:after="120"/>
        <w:jc w:val="both"/>
      </w:pPr>
      <w:r>
        <w:t>Level 1 indicators of effective performance</w:t>
      </w:r>
    </w:p>
    <w:p w14:paraId="062C7975" w14:textId="77777777" w:rsidR="00CE6E64" w:rsidRDefault="00CE6E64" w:rsidP="00CE6E64">
      <w:pPr>
        <w:pStyle w:val="ListParagraph"/>
        <w:numPr>
          <w:ilvl w:val="0"/>
          <w:numId w:val="6"/>
        </w:numPr>
        <w:spacing w:after="120"/>
        <w:jc w:val="both"/>
      </w:pPr>
      <w:r>
        <w:t xml:space="preserve">Plans and </w:t>
      </w:r>
      <w:r w:rsidR="00F63B9B">
        <w:t>prioritises</w:t>
      </w:r>
      <w:r>
        <w:t xml:space="preserve"> own workload to meet agreed deadlines</w:t>
      </w:r>
    </w:p>
    <w:p w14:paraId="733C2EEB" w14:textId="77777777" w:rsidR="00CE6E64" w:rsidRDefault="00CE6E64" w:rsidP="00CE6E64">
      <w:pPr>
        <w:pStyle w:val="ListParagraph"/>
        <w:numPr>
          <w:ilvl w:val="0"/>
          <w:numId w:val="6"/>
        </w:numPr>
        <w:spacing w:after="120"/>
        <w:jc w:val="both"/>
      </w:pPr>
      <w:r>
        <w:t xml:space="preserve">Advises colleagues or manager early of </w:t>
      </w:r>
      <w:r w:rsidR="00F63B9B">
        <w:t>obstacles</w:t>
      </w:r>
      <w:r>
        <w:t xml:space="preserve"> to work delivery</w:t>
      </w:r>
    </w:p>
    <w:p w14:paraId="66E0D269" w14:textId="77777777" w:rsidR="00CE6E64" w:rsidRDefault="00CE6E64" w:rsidP="00CE6E64">
      <w:pPr>
        <w:pStyle w:val="ListParagraph"/>
        <w:numPr>
          <w:ilvl w:val="0"/>
          <w:numId w:val="6"/>
        </w:numPr>
        <w:spacing w:after="120"/>
        <w:jc w:val="both"/>
      </w:pPr>
      <w:r>
        <w:t>Perseveres and follows work through to completion</w:t>
      </w:r>
    </w:p>
    <w:p w14:paraId="59F4F111" w14:textId="77777777" w:rsidR="00CE6E64" w:rsidRDefault="00CE6E64" w:rsidP="00CE6E64">
      <w:pPr>
        <w:pStyle w:val="ListParagraph"/>
        <w:numPr>
          <w:ilvl w:val="0"/>
          <w:numId w:val="6"/>
        </w:numPr>
        <w:spacing w:after="120"/>
        <w:jc w:val="both"/>
      </w:pPr>
      <w:r>
        <w:t>Checks for errors to ensure work is delivered to a high standard first time</w:t>
      </w:r>
    </w:p>
    <w:p w14:paraId="24D0FABC" w14:textId="77777777" w:rsidR="00CE6E64" w:rsidRDefault="00CE6E64" w:rsidP="00CE6E64">
      <w:pPr>
        <w:pStyle w:val="ListParagraph"/>
        <w:numPr>
          <w:ilvl w:val="0"/>
          <w:numId w:val="6"/>
        </w:numPr>
        <w:spacing w:after="120"/>
        <w:jc w:val="both"/>
      </w:pPr>
      <w:r>
        <w:t>Effectively juggles priorities</w:t>
      </w:r>
    </w:p>
    <w:p w14:paraId="002FC4CF" w14:textId="77777777" w:rsidR="00A16705" w:rsidRDefault="00A16705" w:rsidP="00A16705">
      <w:pPr>
        <w:spacing w:after="120"/>
        <w:jc w:val="both"/>
      </w:pPr>
    </w:p>
    <w:p w14:paraId="439DE9C1" w14:textId="77777777" w:rsidR="00A16705" w:rsidRDefault="00A16705" w:rsidP="00A16705">
      <w:pPr>
        <w:spacing w:after="120"/>
        <w:jc w:val="both"/>
        <w:rPr>
          <w:b/>
          <w:i/>
        </w:rPr>
      </w:pPr>
      <w:r w:rsidRPr="00A16705">
        <w:rPr>
          <w:b/>
          <w:i/>
        </w:rPr>
        <w:t>R</w:t>
      </w:r>
      <w:r>
        <w:rPr>
          <w:b/>
          <w:i/>
        </w:rPr>
        <w:t>esponding to Pressure and Change</w:t>
      </w:r>
    </w:p>
    <w:p w14:paraId="1C1D5F91" w14:textId="77777777" w:rsidR="00A16705" w:rsidRDefault="00A16705" w:rsidP="00A16705">
      <w:pPr>
        <w:spacing w:after="120"/>
        <w:jc w:val="both"/>
      </w:pPr>
      <w:r>
        <w:t xml:space="preserve">… is being flexible and adapting positively, to sustain performance when the situation changes, workload increases, tensions rise or priorities shift. </w:t>
      </w:r>
    </w:p>
    <w:p w14:paraId="2DE8065C" w14:textId="77777777" w:rsidR="00A16705" w:rsidRDefault="00A16705" w:rsidP="00A16705">
      <w:pPr>
        <w:spacing w:after="120"/>
        <w:jc w:val="both"/>
      </w:pPr>
      <w:r w:rsidRPr="00A16705">
        <w:t>Level 1 indicators of effective performance</w:t>
      </w:r>
    </w:p>
    <w:p w14:paraId="3948B23E" w14:textId="77777777" w:rsidR="00A16705" w:rsidRDefault="00A16705" w:rsidP="00A16705">
      <w:pPr>
        <w:pStyle w:val="ListParagraph"/>
        <w:numPr>
          <w:ilvl w:val="0"/>
          <w:numId w:val="11"/>
        </w:numPr>
        <w:spacing w:after="120"/>
        <w:jc w:val="both"/>
      </w:pPr>
      <w:r>
        <w:t>Stays calm in pressurised and demanding situations</w:t>
      </w:r>
    </w:p>
    <w:p w14:paraId="34EABE8E" w14:textId="77777777" w:rsidR="00A16705" w:rsidRDefault="00A16705" w:rsidP="00A16705">
      <w:pPr>
        <w:pStyle w:val="ListParagraph"/>
        <w:numPr>
          <w:ilvl w:val="0"/>
          <w:numId w:val="11"/>
        </w:numPr>
        <w:spacing w:after="120"/>
        <w:jc w:val="both"/>
      </w:pPr>
      <w:r>
        <w:t>Responds flexibly to changing circumstances</w:t>
      </w:r>
    </w:p>
    <w:p w14:paraId="2C9D12BF" w14:textId="77777777" w:rsidR="00A16705" w:rsidRDefault="00A16705" w:rsidP="00A16705">
      <w:pPr>
        <w:pStyle w:val="ListParagraph"/>
        <w:numPr>
          <w:ilvl w:val="0"/>
          <w:numId w:val="11"/>
        </w:numPr>
        <w:spacing w:after="120"/>
        <w:jc w:val="both"/>
      </w:pPr>
      <w:r>
        <w:t>Recognises when unable to cope and asks others for help</w:t>
      </w:r>
    </w:p>
    <w:p w14:paraId="20E4F5F7" w14:textId="77777777" w:rsidR="00A16705" w:rsidRDefault="00A16705" w:rsidP="00A16705">
      <w:pPr>
        <w:pStyle w:val="ListParagraph"/>
        <w:numPr>
          <w:ilvl w:val="0"/>
          <w:numId w:val="11"/>
        </w:numPr>
        <w:spacing w:after="120"/>
        <w:jc w:val="both"/>
      </w:pPr>
      <w:r>
        <w:t>Demonstrates openness to changing work priorities and deadlines</w:t>
      </w:r>
    </w:p>
    <w:p w14:paraId="0ABCD0A3" w14:textId="77777777" w:rsidR="00A16705" w:rsidRDefault="00A16705" w:rsidP="00A16705">
      <w:pPr>
        <w:pStyle w:val="ListParagraph"/>
        <w:numPr>
          <w:ilvl w:val="0"/>
          <w:numId w:val="11"/>
        </w:numPr>
        <w:spacing w:after="120"/>
        <w:jc w:val="both"/>
      </w:pPr>
      <w:r>
        <w:t>Maintains personal well-being and achieves a balance between work and home life</w:t>
      </w:r>
    </w:p>
    <w:p w14:paraId="089CB0C5" w14:textId="77777777" w:rsidR="00F46C68" w:rsidRDefault="00F46C68" w:rsidP="00F46C68">
      <w:pPr>
        <w:spacing w:after="120"/>
        <w:jc w:val="both"/>
      </w:pPr>
    </w:p>
    <w:p w14:paraId="31690562" w14:textId="77777777" w:rsidR="005C7290" w:rsidRDefault="005C7290" w:rsidP="005C7290">
      <w:pPr>
        <w:pStyle w:val="Heading4"/>
      </w:pPr>
      <w:r>
        <w:t>Political Restriction</w:t>
      </w:r>
    </w:p>
    <w:p w14:paraId="3A42D819" w14:textId="73A8848B" w:rsidR="005C7290" w:rsidRDefault="005C7290" w:rsidP="005C7290">
      <w:pPr>
        <w:pStyle w:val="Heading4"/>
        <w:rPr>
          <w:b w:val="0"/>
          <w:bCs/>
          <w:iCs/>
        </w:rPr>
      </w:pPr>
      <w:r>
        <w:rPr>
          <w:b w:val="0"/>
          <w:bCs/>
          <w:iCs/>
        </w:rPr>
        <w:t>This job is ‘politically restricted’ under the Local Government and Housing Act 1989</w:t>
      </w:r>
    </w:p>
    <w:p w14:paraId="22F1AFE6" w14:textId="77777777" w:rsidR="005C7290" w:rsidRPr="005C7290" w:rsidRDefault="005C7290" w:rsidP="005C7290"/>
    <w:p w14:paraId="7E3627D7" w14:textId="2ACDF528" w:rsidR="00F46C68" w:rsidRDefault="00F46C68" w:rsidP="00F46C68">
      <w:pPr>
        <w:pStyle w:val="Heading3"/>
      </w:pPr>
      <w:r>
        <w:t>Reasonable adjustments</w:t>
      </w:r>
    </w:p>
    <w:p w14:paraId="7EA35EBC" w14:textId="77777777" w:rsidR="00F46C68" w:rsidRDefault="00F46C68" w:rsidP="00F46C68"/>
    <w:p w14:paraId="5C764769" w14:textId="77777777" w:rsidR="00AF22A0" w:rsidRPr="00AF22A0" w:rsidRDefault="00F46C68" w:rsidP="00AF22A0">
      <w:r>
        <w:t>Reasonable adjustments will be made to working arrangements to accommodate a person with a disability who otherwise would be prevented from undertaking the work.</w:t>
      </w:r>
    </w:p>
    <w:sectPr w:rsidR="00AF22A0" w:rsidRPr="00AF22A0">
      <w:headerReference w:type="default" r:id="rId8"/>
      <w:pgSz w:w="11906" w:h="16838"/>
      <w:pgMar w:top="1440" w:right="1191" w:bottom="144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9199F" w14:textId="77777777" w:rsidR="00AC0848" w:rsidRDefault="00AC0848" w:rsidP="00E65AAD">
      <w:r>
        <w:separator/>
      </w:r>
    </w:p>
  </w:endnote>
  <w:endnote w:type="continuationSeparator" w:id="0">
    <w:p w14:paraId="2085A0CD" w14:textId="77777777" w:rsidR="00AC0848" w:rsidRDefault="00AC0848" w:rsidP="00E6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1F215" w14:textId="77777777" w:rsidR="00AC0848" w:rsidRDefault="00AC0848" w:rsidP="00E65AAD">
      <w:r>
        <w:separator/>
      </w:r>
    </w:p>
  </w:footnote>
  <w:footnote w:type="continuationSeparator" w:id="0">
    <w:p w14:paraId="15B4C017" w14:textId="77777777" w:rsidR="00AC0848" w:rsidRDefault="00AC0848" w:rsidP="00E65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E289F" w14:textId="35963E0E" w:rsidR="00E65AAD" w:rsidRDefault="00E65AAD" w:rsidP="00E65AAD">
    <w:pPr>
      <w:pStyle w:val="Header"/>
      <w:jc w:val="right"/>
    </w:pPr>
    <w:r w:rsidRPr="007752FD">
      <w:rPr>
        <w:noProof/>
      </w:rPr>
      <w:drawing>
        <wp:inline distT="0" distB="0" distL="0" distR="0" wp14:anchorId="5FD76F08" wp14:editId="79E482BD">
          <wp:extent cx="3222625" cy="177486"/>
          <wp:effectExtent l="0" t="0" r="0" b="0"/>
          <wp:docPr id="2" name="Picture 2" descr="J:\Recruitment\NEW SHARED DRIVE\Adverts and templates\GreaterLondonAuthority_gre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Recruitment\NEW SHARED DRIVE\Adverts and templates\GreaterLondonAuthority_grey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795" cy="182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10907"/>
    <w:multiLevelType w:val="hybridMultilevel"/>
    <w:tmpl w:val="0D46B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1A1E"/>
    <w:multiLevelType w:val="hybridMultilevel"/>
    <w:tmpl w:val="6BDC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7B0A"/>
    <w:multiLevelType w:val="hybridMultilevel"/>
    <w:tmpl w:val="E9002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D16DD"/>
    <w:multiLevelType w:val="hybridMultilevel"/>
    <w:tmpl w:val="8CE4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F77DE"/>
    <w:multiLevelType w:val="hybridMultilevel"/>
    <w:tmpl w:val="097C5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74E32"/>
    <w:multiLevelType w:val="hybridMultilevel"/>
    <w:tmpl w:val="3948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C780E"/>
    <w:multiLevelType w:val="hybridMultilevel"/>
    <w:tmpl w:val="2A6E2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257F2"/>
    <w:multiLevelType w:val="hybridMultilevel"/>
    <w:tmpl w:val="3ED4A4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23B780A"/>
    <w:multiLevelType w:val="hybridMultilevel"/>
    <w:tmpl w:val="55343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F41F8"/>
    <w:multiLevelType w:val="hybridMultilevel"/>
    <w:tmpl w:val="13D06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B4779"/>
    <w:multiLevelType w:val="hybridMultilevel"/>
    <w:tmpl w:val="4F502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68"/>
    <w:rsid w:val="000136B9"/>
    <w:rsid w:val="00051883"/>
    <w:rsid w:val="000D0B20"/>
    <w:rsid w:val="000D6AA1"/>
    <w:rsid w:val="001319EA"/>
    <w:rsid w:val="001A4FEE"/>
    <w:rsid w:val="001C23DD"/>
    <w:rsid w:val="0023018C"/>
    <w:rsid w:val="00264641"/>
    <w:rsid w:val="002801C5"/>
    <w:rsid w:val="002E66FC"/>
    <w:rsid w:val="003066E4"/>
    <w:rsid w:val="003273AA"/>
    <w:rsid w:val="0035694F"/>
    <w:rsid w:val="003C60D9"/>
    <w:rsid w:val="00446E76"/>
    <w:rsid w:val="0045755D"/>
    <w:rsid w:val="004C2AA9"/>
    <w:rsid w:val="004D036E"/>
    <w:rsid w:val="00543940"/>
    <w:rsid w:val="0054573B"/>
    <w:rsid w:val="005C6A8E"/>
    <w:rsid w:val="005C7290"/>
    <w:rsid w:val="005F5DFC"/>
    <w:rsid w:val="00607A75"/>
    <w:rsid w:val="006A1E04"/>
    <w:rsid w:val="006E4842"/>
    <w:rsid w:val="00716BDE"/>
    <w:rsid w:val="00813A03"/>
    <w:rsid w:val="0084036B"/>
    <w:rsid w:val="00852E99"/>
    <w:rsid w:val="00913433"/>
    <w:rsid w:val="00957478"/>
    <w:rsid w:val="009721D3"/>
    <w:rsid w:val="009E4F44"/>
    <w:rsid w:val="00A16705"/>
    <w:rsid w:val="00A35307"/>
    <w:rsid w:val="00AC0848"/>
    <w:rsid w:val="00AF22A0"/>
    <w:rsid w:val="00BE4ADF"/>
    <w:rsid w:val="00BF17AF"/>
    <w:rsid w:val="00C52B37"/>
    <w:rsid w:val="00C838C2"/>
    <w:rsid w:val="00CA27E7"/>
    <w:rsid w:val="00CD0DD3"/>
    <w:rsid w:val="00CE6E64"/>
    <w:rsid w:val="00D061F7"/>
    <w:rsid w:val="00D17141"/>
    <w:rsid w:val="00D27703"/>
    <w:rsid w:val="00D43831"/>
    <w:rsid w:val="00D45297"/>
    <w:rsid w:val="00D6333E"/>
    <w:rsid w:val="00E14764"/>
    <w:rsid w:val="00E65AAD"/>
    <w:rsid w:val="00E90192"/>
    <w:rsid w:val="00F46C68"/>
    <w:rsid w:val="00F6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79CD0"/>
  <w15:docId w15:val="{F827034F-BBCA-4AE3-ACD1-40549F39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C68"/>
    <w:rPr>
      <w:rFonts w:ascii="Foundry Form Sans" w:hAnsi="Foundry Form Sans"/>
      <w:sz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46C68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F46C6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46C68"/>
    <w:pPr>
      <w:keepNext/>
      <w:spacing w:after="12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F46C68"/>
    <w:rPr>
      <w:rFonts w:ascii="Arial" w:hAnsi="Arial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F46C68"/>
    <w:rPr>
      <w:rFonts w:ascii="Foundry Form Sans" w:hAnsi="Foundry Form Sans"/>
      <w:b/>
      <w:bCs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F46C68"/>
    <w:rPr>
      <w:rFonts w:ascii="Foundry Form Sans" w:hAnsi="Foundry Form Sans"/>
      <w:b/>
      <w:sz w:val="24"/>
      <w:lang w:eastAsia="en-US"/>
    </w:rPr>
  </w:style>
  <w:style w:type="paragraph" w:styleId="Footer">
    <w:name w:val="footer"/>
    <w:basedOn w:val="Normal"/>
    <w:link w:val="FooterChar"/>
    <w:rsid w:val="00F46C68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F46C68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F46C68"/>
    <w:pPr>
      <w:ind w:left="360" w:hanging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F46C68"/>
    <w:rPr>
      <w:rFonts w:ascii="Arial" w:hAnsi="Arial"/>
      <w:sz w:val="24"/>
      <w:lang w:eastAsia="en-US"/>
    </w:rPr>
  </w:style>
  <w:style w:type="paragraph" w:styleId="BodyText">
    <w:name w:val="Body Text"/>
    <w:basedOn w:val="Normal"/>
    <w:link w:val="BodyTextChar"/>
    <w:rsid w:val="00F46C68"/>
    <w:rPr>
      <w:rFonts w:ascii="Arial" w:hAnsi="Arial"/>
      <w:snapToGrid w:val="0"/>
    </w:rPr>
  </w:style>
  <w:style w:type="character" w:customStyle="1" w:styleId="BodyTextChar">
    <w:name w:val="Body Text Char"/>
    <w:basedOn w:val="DefaultParagraphFont"/>
    <w:link w:val="BodyText"/>
    <w:rsid w:val="00F46C68"/>
    <w:rPr>
      <w:rFonts w:ascii="Arial" w:hAnsi="Arial"/>
      <w:snapToGrid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4FE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147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476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4764"/>
    <w:rPr>
      <w:rFonts w:ascii="Foundry Form Sans" w:hAnsi="Foundry Form San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4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4764"/>
    <w:rPr>
      <w:rFonts w:ascii="Foundry Form Sans" w:hAnsi="Foundry Form Sans"/>
      <w:b/>
      <w:bCs/>
      <w:lang w:eastAsia="en-US"/>
    </w:rPr>
  </w:style>
  <w:style w:type="table" w:styleId="TableGrid">
    <w:name w:val="Table Grid"/>
    <w:basedOn w:val="TableNormal"/>
    <w:rsid w:val="00E14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A167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16705"/>
    <w:rPr>
      <w:rFonts w:ascii="Foundry Form Sans" w:hAnsi="Foundry Form Sans"/>
      <w:sz w:val="24"/>
      <w:lang w:eastAsia="en-US"/>
    </w:rPr>
  </w:style>
  <w:style w:type="paragraph" w:styleId="Header">
    <w:name w:val="header"/>
    <w:basedOn w:val="Normal"/>
    <w:link w:val="HeaderChar"/>
    <w:unhideWhenUsed/>
    <w:rsid w:val="00E65A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5AAD"/>
    <w:rPr>
      <w:rFonts w:ascii="Foundry Form Sans" w:hAnsi="Foundry Form San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4B55-8FCB-4A63-B435-1F002ACF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Edwards</dc:creator>
  <cp:lastModifiedBy>Andrew Baxter</cp:lastModifiedBy>
  <cp:revision>6</cp:revision>
  <cp:lastPrinted>2018-02-02T13:40:00Z</cp:lastPrinted>
  <dcterms:created xsi:type="dcterms:W3CDTF">2021-11-22T18:13:00Z</dcterms:created>
  <dcterms:modified xsi:type="dcterms:W3CDTF">2022-01-17T14:39:00Z</dcterms:modified>
</cp:coreProperties>
</file>