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047"/>
        <w:gridCol w:w="198"/>
        <w:gridCol w:w="2585"/>
        <w:gridCol w:w="1988"/>
        <w:gridCol w:w="2198"/>
      </w:tblGrid>
      <w:tr w:rsidR="00303B1C" w:rsidRPr="00303B1C" w:rsidTr="00CD6849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pPr>
              <w:jc w:val="center"/>
              <w:rPr>
                <w:b/>
                <w:sz w:val="28"/>
                <w:szCs w:val="28"/>
              </w:rPr>
            </w:pPr>
          </w:p>
          <w:p w:rsidR="00303B1C" w:rsidRPr="00303B1C" w:rsidRDefault="00303B1C" w:rsidP="00CD6849">
            <w:pPr>
              <w:jc w:val="center"/>
              <w:rPr>
                <w:b/>
                <w:sz w:val="32"/>
                <w:szCs w:val="32"/>
              </w:rPr>
            </w:pPr>
            <w:r w:rsidRPr="00303B1C">
              <w:rPr>
                <w:b/>
                <w:sz w:val="32"/>
                <w:szCs w:val="32"/>
              </w:rPr>
              <w:t>Job Description</w:t>
            </w:r>
          </w:p>
          <w:p w:rsidR="00303B1C" w:rsidRPr="00303B1C" w:rsidRDefault="00303B1C" w:rsidP="00CD6849">
            <w:pPr>
              <w:jc w:val="center"/>
            </w:pPr>
          </w:p>
        </w:tc>
      </w:tr>
      <w:tr w:rsidR="00303B1C" w:rsidRPr="00303B1C" w:rsidTr="00CD6849">
        <w:trPr>
          <w:trHeight w:val="471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Job Title:</w:t>
            </w:r>
          </w:p>
        </w:tc>
        <w:tc>
          <w:tcPr>
            <w:tcW w:w="6771" w:type="dxa"/>
            <w:gridSpan w:val="3"/>
            <w:vAlign w:val="center"/>
          </w:tcPr>
          <w:p w:rsidR="00303B1C" w:rsidRPr="005E5FA6" w:rsidRDefault="005E5FA6" w:rsidP="00CD6849">
            <w:r w:rsidRPr="005E5FA6">
              <w:t>Commercial</w:t>
            </w:r>
            <w:r w:rsidR="00C628B1">
              <w:t xml:space="preserve"> Director</w:t>
            </w:r>
          </w:p>
        </w:tc>
      </w:tr>
      <w:tr w:rsidR="00D24366" w:rsidRPr="00303B1C" w:rsidTr="00CD6849">
        <w:trPr>
          <w:trHeight w:val="420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Grade:</w:t>
            </w:r>
          </w:p>
        </w:tc>
        <w:tc>
          <w:tcPr>
            <w:tcW w:w="2585" w:type="dxa"/>
            <w:vAlign w:val="center"/>
          </w:tcPr>
          <w:p w:rsidR="00303B1C" w:rsidRPr="005E5FA6" w:rsidRDefault="006D3AFE" w:rsidP="00CD6849">
            <w:r>
              <w:t xml:space="preserve">Grade 14 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Post No:</w:t>
            </w:r>
          </w:p>
        </w:tc>
        <w:tc>
          <w:tcPr>
            <w:tcW w:w="2198" w:type="dxa"/>
            <w:vAlign w:val="center"/>
          </w:tcPr>
          <w:p w:rsidR="00303B1C" w:rsidRPr="00303B1C" w:rsidRDefault="00303B1C" w:rsidP="00CD6849"/>
        </w:tc>
      </w:tr>
      <w:tr w:rsidR="00303B1C" w:rsidRPr="00303B1C" w:rsidTr="00CD6849">
        <w:trPr>
          <w:trHeight w:val="425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Directorate:</w:t>
            </w:r>
          </w:p>
        </w:tc>
        <w:tc>
          <w:tcPr>
            <w:tcW w:w="6771" w:type="dxa"/>
            <w:gridSpan w:val="3"/>
            <w:vAlign w:val="center"/>
          </w:tcPr>
          <w:p w:rsidR="00303B1C" w:rsidRPr="000B68A4" w:rsidRDefault="002908A7" w:rsidP="00CD6849">
            <w:r w:rsidRPr="000B68A4">
              <w:t>C</w:t>
            </w:r>
            <w:r w:rsidR="000B68A4" w:rsidRPr="000B68A4">
              <w:t>orporate Operations</w:t>
            </w:r>
            <w:r w:rsidR="00790032">
              <w:t xml:space="preserve"> &amp; Commercial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Job Purpose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2677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CD6849">
            <w:pPr>
              <w:ind w:left="108"/>
            </w:pPr>
          </w:p>
          <w:p w:rsidR="00BE5379" w:rsidRDefault="004D0782" w:rsidP="00CD6849">
            <w:pPr>
              <w:rPr>
                <w:rFonts w:cs="Helvetica"/>
              </w:rPr>
            </w:pPr>
            <w:r>
              <w:rPr>
                <w:rFonts w:cs="Helvetica"/>
              </w:rPr>
              <w:t>To lead commercial</w:t>
            </w:r>
            <w:r w:rsidR="008433EB">
              <w:rPr>
                <w:rFonts w:cs="Helvetica"/>
              </w:rPr>
              <w:t xml:space="preserve"> activities </w:t>
            </w:r>
            <w:r w:rsidR="00D6549B">
              <w:rPr>
                <w:rFonts w:cs="Helvetica"/>
              </w:rPr>
              <w:t xml:space="preserve">underpinning </w:t>
            </w:r>
            <w:r>
              <w:rPr>
                <w:rFonts w:cs="Helvetica"/>
              </w:rPr>
              <w:t>the development of Old Oak</w:t>
            </w:r>
            <w:r w:rsidR="00D6549B">
              <w:rPr>
                <w:rFonts w:cs="Helvetica"/>
              </w:rPr>
              <w:t xml:space="preserve"> a</w:t>
            </w:r>
            <w:r w:rsidR="00480240">
              <w:rPr>
                <w:rFonts w:cs="Helvetica"/>
              </w:rPr>
              <w:t>nd regeneration of Park Royal</w:t>
            </w:r>
            <w:r w:rsidR="00BE5379">
              <w:rPr>
                <w:rFonts w:cs="Helvetica"/>
              </w:rPr>
              <w:t xml:space="preserve">, and provide </w:t>
            </w:r>
            <w:r w:rsidR="001F7EB9">
              <w:rPr>
                <w:rFonts w:cs="Helvetica"/>
              </w:rPr>
              <w:t>expert advice to Chairman</w:t>
            </w:r>
            <w:r>
              <w:rPr>
                <w:rFonts w:cs="Helvetica"/>
              </w:rPr>
              <w:t xml:space="preserve"> and the Board wit</w:t>
            </w:r>
            <w:r w:rsidR="00480240">
              <w:rPr>
                <w:rFonts w:cs="Helvetica"/>
              </w:rPr>
              <w:t>h overall commercial leadership.</w:t>
            </w:r>
          </w:p>
          <w:p w:rsidR="00480240" w:rsidRPr="00FB0568" w:rsidRDefault="00480240" w:rsidP="00CD6849">
            <w:pPr>
              <w:rPr>
                <w:rFonts w:cs="Helvetica"/>
              </w:rPr>
            </w:pPr>
          </w:p>
          <w:p w:rsidR="005E5FA6" w:rsidRPr="00FB0568" w:rsidRDefault="005E5FA6" w:rsidP="00CD6849">
            <w:pPr>
              <w:rPr>
                <w:rFonts w:cs="Helvetica"/>
              </w:rPr>
            </w:pPr>
            <w:r w:rsidRPr="00FB0568">
              <w:rPr>
                <w:rFonts w:cs="Helvetica"/>
              </w:rPr>
              <w:t xml:space="preserve">To lead the development and implementation of the structuring, external financing and procurement of major projects in </w:t>
            </w:r>
            <w:r>
              <w:rPr>
                <w:rFonts w:cs="Helvetica"/>
              </w:rPr>
              <w:t>OPDC</w:t>
            </w:r>
            <w:r w:rsidRPr="00FB0568">
              <w:rPr>
                <w:rFonts w:cs="Helvetica"/>
              </w:rPr>
              <w:t xml:space="preserve">’s </w:t>
            </w:r>
            <w:r w:rsidR="001F7EB9">
              <w:rPr>
                <w:rFonts w:cs="Helvetica"/>
              </w:rPr>
              <w:t xml:space="preserve">Future </w:t>
            </w:r>
            <w:r w:rsidRPr="00FB0568">
              <w:rPr>
                <w:rFonts w:cs="Helvetica"/>
              </w:rPr>
              <w:t xml:space="preserve">Investment Programme, to lead the structuring of major externally financed projects, and to develop and lead direct financing transactions undertaken by </w:t>
            </w:r>
            <w:r>
              <w:rPr>
                <w:rFonts w:cs="Helvetica"/>
              </w:rPr>
              <w:t>OPDC</w:t>
            </w:r>
            <w:r w:rsidRPr="00FB0568">
              <w:rPr>
                <w:rFonts w:cs="Helvetica"/>
              </w:rPr>
              <w:t>.</w:t>
            </w:r>
          </w:p>
          <w:p w:rsidR="005E5FA6" w:rsidRPr="00FB0568" w:rsidRDefault="005E5FA6" w:rsidP="00CD6849">
            <w:pPr>
              <w:rPr>
                <w:rFonts w:cs="Helvetica"/>
              </w:rPr>
            </w:pPr>
          </w:p>
          <w:p w:rsidR="005E5FA6" w:rsidRDefault="005E5FA6" w:rsidP="00CD6849">
            <w:pPr>
              <w:rPr>
                <w:rFonts w:cs="Helvetica"/>
              </w:rPr>
            </w:pPr>
            <w:r w:rsidRPr="00FB0568">
              <w:rPr>
                <w:rFonts w:cs="Helvetica"/>
              </w:rPr>
              <w:t xml:space="preserve">To </w:t>
            </w:r>
            <w:r w:rsidR="000B68A4">
              <w:rPr>
                <w:rFonts w:cs="Helvetica"/>
              </w:rPr>
              <w:t>be a part of SMT</w:t>
            </w:r>
            <w:r w:rsidR="006D3AFE">
              <w:rPr>
                <w:rFonts w:cs="Helvetica"/>
              </w:rPr>
              <w:t>,</w:t>
            </w:r>
            <w:r w:rsidR="000B68A4">
              <w:rPr>
                <w:rFonts w:cs="Helvetica"/>
              </w:rPr>
              <w:t xml:space="preserve"> and </w:t>
            </w:r>
            <w:r w:rsidRPr="00FB0568">
              <w:rPr>
                <w:rFonts w:cs="Helvetica"/>
              </w:rPr>
              <w:t xml:space="preserve">work with colleagues in SMT, Commercial and other areas of </w:t>
            </w:r>
            <w:r>
              <w:rPr>
                <w:rFonts w:cs="Helvetica"/>
              </w:rPr>
              <w:t>OPDC</w:t>
            </w:r>
            <w:r w:rsidRPr="00FB0568">
              <w:rPr>
                <w:rFonts w:cs="Helvetica"/>
              </w:rPr>
              <w:t xml:space="preserve"> to achieve value for money and high performance from 3rd party suppliers/contractors to </w:t>
            </w:r>
            <w:r>
              <w:rPr>
                <w:rFonts w:cs="Helvetica"/>
              </w:rPr>
              <w:t>OPDC</w:t>
            </w:r>
            <w:r w:rsidRPr="00FB0568">
              <w:rPr>
                <w:rFonts w:cs="Helvetica"/>
              </w:rPr>
              <w:t xml:space="preserve"> by delivering consistently high quality services.</w:t>
            </w:r>
          </w:p>
          <w:p w:rsidR="00303B1C" w:rsidRPr="00303B1C" w:rsidRDefault="00303B1C" w:rsidP="00CD6849"/>
          <w:p w:rsidR="00303B1C" w:rsidRPr="00303B1C" w:rsidRDefault="00303B1C" w:rsidP="00CD6849">
            <w:pPr>
              <w:ind w:left="108"/>
            </w:pPr>
            <w:r w:rsidRPr="00303B1C">
              <w:t xml:space="preserve">  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r w:rsidRPr="00303B1C">
              <w:t xml:space="preserve">   </w:t>
            </w:r>
            <w:r w:rsidRPr="00303B1C">
              <w:rPr>
                <w:b/>
              </w:rPr>
              <w:t>Principal accountabilities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CD6849">
            <w:pPr>
              <w:ind w:left="720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  <w:p w:rsidR="008C5F4E" w:rsidRDefault="00AD05F1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="008C5F4E">
              <w:rPr>
                <w:lang w:val="en-US"/>
              </w:rPr>
              <w:t>on the development and delivery of a strategic programme of income generating commercial partnership activity for the OPDC in line with the Corporations business plan</w:t>
            </w:r>
            <w:r>
              <w:t>.</w:t>
            </w:r>
          </w:p>
          <w:p w:rsidR="00AD05F1" w:rsidRDefault="008C5F4E" w:rsidP="00CD684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E5FA6" w:rsidRDefault="008C5F4E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Lead the </w:t>
            </w:r>
            <w:r w:rsidR="00280AC9">
              <w:rPr>
                <w:lang w:val="en-US"/>
              </w:rPr>
              <w:t>s</w:t>
            </w:r>
            <w:r w:rsidR="005E5FA6" w:rsidRPr="006002F9">
              <w:rPr>
                <w:lang w:val="en-US"/>
              </w:rPr>
              <w:t>uccessful development and implementation of commercial and financial structures, external financing and procurement of major capital projects and operating contracts.</w:t>
            </w:r>
          </w:p>
          <w:p w:rsidR="005E5FA6" w:rsidRPr="006002F9" w:rsidRDefault="005E5FA6" w:rsidP="00CD6849">
            <w:pPr>
              <w:rPr>
                <w:lang w:val="en-US"/>
              </w:rPr>
            </w:pPr>
          </w:p>
          <w:p w:rsidR="005E5FA6" w:rsidRDefault="005E5FA6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002F9">
              <w:rPr>
                <w:lang w:val="en-US"/>
              </w:rPr>
              <w:t xml:space="preserve">Management of virtual teams, including staff </w:t>
            </w:r>
            <w:r>
              <w:t>(</w:t>
            </w:r>
            <w:r>
              <w:rPr>
                <w:lang w:val="en-US"/>
              </w:rPr>
              <w:t>from Commercial Finance, other staff</w:t>
            </w:r>
            <w:r>
              <w:t>)</w:t>
            </w:r>
            <w:r>
              <w:rPr>
                <w:lang w:val="en-US"/>
              </w:rPr>
              <w:t xml:space="preserve"> in the wider OPDC</w:t>
            </w:r>
            <w:r>
              <w:t xml:space="preserve"> </w:t>
            </w:r>
            <w:r w:rsidR="001F7EB9">
              <w:t>and</w:t>
            </w:r>
            <w:r>
              <w:t xml:space="preserve"> GLA</w:t>
            </w:r>
            <w:r w:rsidRPr="006002F9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6002F9">
              <w:rPr>
                <w:lang w:val="en-US"/>
              </w:rPr>
              <w:t>roup and external advisors.</w:t>
            </w:r>
          </w:p>
          <w:p w:rsidR="005E5FA6" w:rsidRPr="006002F9" w:rsidRDefault="005E5FA6" w:rsidP="00CD6849">
            <w:pPr>
              <w:rPr>
                <w:lang w:val="en-US"/>
              </w:rPr>
            </w:pPr>
          </w:p>
          <w:p w:rsidR="005E5FA6" w:rsidRDefault="008F3951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Lead the d</w:t>
            </w:r>
            <w:r w:rsidR="005E5FA6" w:rsidRPr="006002F9">
              <w:rPr>
                <w:lang w:val="en-US"/>
              </w:rPr>
              <w:t xml:space="preserve">evelopment and implementation of Financing Plans for major </w:t>
            </w:r>
            <w:r w:rsidR="005E5FA6">
              <w:rPr>
                <w:lang w:val="en-US"/>
              </w:rPr>
              <w:t>OPDC</w:t>
            </w:r>
            <w:r w:rsidR="005E5FA6" w:rsidRPr="006002F9">
              <w:rPr>
                <w:lang w:val="en-US"/>
              </w:rPr>
              <w:t xml:space="preserve"> Projects</w:t>
            </w:r>
            <w:r w:rsidR="00E8312F">
              <w:rPr>
                <w:lang w:val="en-US"/>
              </w:rPr>
              <w:t>, and attracting and securing private finance.</w:t>
            </w:r>
          </w:p>
          <w:p w:rsidR="005E5FA6" w:rsidRPr="006002F9" w:rsidRDefault="005E5FA6" w:rsidP="00CD6849">
            <w:pPr>
              <w:rPr>
                <w:lang w:val="en-US"/>
              </w:rPr>
            </w:pPr>
          </w:p>
          <w:p w:rsidR="005E5FA6" w:rsidRDefault="00E8312F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Oversight of the d</w:t>
            </w:r>
            <w:r w:rsidR="005E5FA6" w:rsidRPr="006002F9">
              <w:rPr>
                <w:lang w:val="en-US"/>
              </w:rPr>
              <w:t xml:space="preserve">evelopment and implementation of strategic procurement plans for </w:t>
            </w:r>
            <w:r w:rsidR="005E5FA6">
              <w:rPr>
                <w:lang w:val="en-US"/>
              </w:rPr>
              <w:t>OPDC</w:t>
            </w:r>
            <w:r w:rsidR="005E5FA6" w:rsidRPr="006002F9">
              <w:rPr>
                <w:lang w:val="en-US"/>
              </w:rPr>
              <w:t>.</w:t>
            </w:r>
          </w:p>
          <w:p w:rsidR="005E5FA6" w:rsidRPr="006002F9" w:rsidRDefault="005E5FA6" w:rsidP="00CD6849">
            <w:pPr>
              <w:rPr>
                <w:lang w:val="en-US"/>
              </w:rPr>
            </w:pPr>
          </w:p>
          <w:p w:rsidR="005E5FA6" w:rsidRDefault="008F3951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Lead on the i</w:t>
            </w:r>
            <w:r w:rsidR="005E5FA6" w:rsidRPr="006002F9">
              <w:rPr>
                <w:lang w:val="en-US"/>
              </w:rPr>
              <w:t xml:space="preserve">mplementation of commercial and financial restructuring of major </w:t>
            </w:r>
            <w:r w:rsidR="005E5FA6">
              <w:rPr>
                <w:lang w:val="en-US"/>
              </w:rPr>
              <w:t>OPDC</w:t>
            </w:r>
            <w:r w:rsidR="005E5FA6" w:rsidRPr="006002F9">
              <w:rPr>
                <w:lang w:val="en-US"/>
              </w:rPr>
              <w:t xml:space="preserve"> Projects</w:t>
            </w:r>
            <w:r w:rsidR="00E8312F">
              <w:rPr>
                <w:lang w:val="en-US"/>
              </w:rPr>
              <w:t>, to identify</w:t>
            </w:r>
            <w:r w:rsidR="00AD05F1">
              <w:rPr>
                <w:lang w:val="en-US"/>
              </w:rPr>
              <w:t xml:space="preserve">, and </w:t>
            </w:r>
            <w:r w:rsidR="00E8312F">
              <w:rPr>
                <w:lang w:val="en-US"/>
              </w:rPr>
              <w:t>manage financial and commercial risks</w:t>
            </w:r>
            <w:r w:rsidR="005E5FA6" w:rsidRPr="006002F9">
              <w:rPr>
                <w:lang w:val="en-US"/>
              </w:rPr>
              <w:t>.</w:t>
            </w:r>
          </w:p>
          <w:p w:rsidR="005E5FA6" w:rsidRPr="006002F9" w:rsidRDefault="005E5FA6" w:rsidP="00CD6849">
            <w:pPr>
              <w:rPr>
                <w:lang w:val="en-US"/>
              </w:rPr>
            </w:pPr>
          </w:p>
          <w:p w:rsidR="005E5FA6" w:rsidRDefault="005E5FA6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002F9">
              <w:rPr>
                <w:lang w:val="en-US"/>
              </w:rPr>
              <w:t xml:space="preserve">Leading across </w:t>
            </w:r>
            <w:r>
              <w:rPr>
                <w:lang w:val="en-US"/>
              </w:rPr>
              <w:t>OPDC</w:t>
            </w:r>
            <w:r w:rsidRPr="006002F9">
              <w:rPr>
                <w:lang w:val="en-US"/>
              </w:rPr>
              <w:t xml:space="preserve"> on the commercial aspects of letting and re</w:t>
            </w:r>
            <w:r w:rsidR="00E8312F">
              <w:rPr>
                <w:lang w:val="en-US"/>
              </w:rPr>
              <w:t>-</w:t>
            </w:r>
            <w:r w:rsidRPr="006002F9">
              <w:rPr>
                <w:lang w:val="en-US"/>
              </w:rPr>
              <w:t xml:space="preserve">letting of concession </w:t>
            </w:r>
            <w:r w:rsidR="00E8312F">
              <w:rPr>
                <w:lang w:val="en-US"/>
              </w:rPr>
              <w:t xml:space="preserve">public and private </w:t>
            </w:r>
            <w:r w:rsidRPr="006002F9">
              <w:rPr>
                <w:lang w:val="en-US"/>
              </w:rPr>
              <w:t>based contracts.</w:t>
            </w:r>
          </w:p>
          <w:p w:rsidR="008C5F4E" w:rsidRPr="006002F9" w:rsidRDefault="008C5F4E" w:rsidP="00CD6849">
            <w:pPr>
              <w:rPr>
                <w:lang w:val="en-US"/>
              </w:rPr>
            </w:pPr>
          </w:p>
          <w:p w:rsidR="005E5FA6" w:rsidRDefault="00E8312F" w:rsidP="00CD6849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Lead on the funding and financing strategy and i</w:t>
            </w:r>
            <w:r w:rsidR="005E5FA6" w:rsidRPr="006002F9">
              <w:rPr>
                <w:lang w:val="en-US"/>
              </w:rPr>
              <w:t>dentify</w:t>
            </w:r>
            <w:r w:rsidR="00AD05F1">
              <w:rPr>
                <w:lang w:val="en-US"/>
              </w:rPr>
              <w:t>,</w:t>
            </w:r>
            <w:r w:rsidR="005E5FA6" w:rsidRPr="006002F9">
              <w:rPr>
                <w:lang w:val="en-US"/>
              </w:rPr>
              <w:t xml:space="preserve"> develop new sources of funding and financing for the </w:t>
            </w:r>
            <w:r w:rsidR="005E5FA6">
              <w:rPr>
                <w:lang w:val="en-US"/>
              </w:rPr>
              <w:t>OPDC</w:t>
            </w:r>
            <w:r w:rsidR="005E5FA6" w:rsidRPr="006002F9">
              <w:rPr>
                <w:lang w:val="en-US"/>
              </w:rPr>
              <w:t xml:space="preserve"> Group.</w:t>
            </w:r>
          </w:p>
          <w:p w:rsidR="00DD7E4A" w:rsidRDefault="00DD7E4A" w:rsidP="00CD6849">
            <w:pPr>
              <w:pStyle w:val="ListParagraph"/>
              <w:rPr>
                <w:lang w:val="en-US"/>
              </w:rPr>
            </w:pPr>
          </w:p>
          <w:p w:rsidR="00DE7047" w:rsidRPr="00227348" w:rsidRDefault="005E5FA6" w:rsidP="00CD684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Foundry Form Sans" w:hAnsi="Foundry Form Sans"/>
                <w:sz w:val="24"/>
                <w:szCs w:val="24"/>
                <w:lang w:val="en-US"/>
              </w:rPr>
            </w:pPr>
            <w:r w:rsidRPr="00227348">
              <w:rPr>
                <w:rFonts w:ascii="Foundry Form Sans" w:hAnsi="Foundry Form Sans"/>
                <w:sz w:val="24"/>
                <w:szCs w:val="24"/>
                <w:lang w:val="en-US"/>
              </w:rPr>
              <w:t>The provision of sound commercial and financial advice to the wider OPDC business to maximise the Value for Money that OPDC derives from its Investment Programme.</w:t>
            </w:r>
            <w:r w:rsidR="00F27DB8" w:rsidRPr="00227348">
              <w:rPr>
                <w:rFonts w:ascii="Foundry Form Sans" w:hAnsi="Foundry Form Sans"/>
                <w:sz w:val="24"/>
                <w:szCs w:val="24"/>
                <w:lang w:val="en-US"/>
              </w:rPr>
              <w:t xml:space="preserve">  </w:t>
            </w:r>
            <w:r w:rsidR="00DE7047" w:rsidRPr="00227348">
              <w:rPr>
                <w:rFonts w:ascii="Foundry Form Sans" w:hAnsi="Foundry Form Sans"/>
                <w:sz w:val="24"/>
                <w:szCs w:val="24"/>
                <w:lang w:val="en-US"/>
              </w:rPr>
              <w:br/>
            </w:r>
          </w:p>
          <w:p w:rsidR="00303B1C" w:rsidRPr="00DE7047" w:rsidRDefault="008F3951" w:rsidP="00CD6849">
            <w:pPr>
              <w:pStyle w:val="ListParagraph"/>
              <w:numPr>
                <w:ilvl w:val="0"/>
                <w:numId w:val="4"/>
              </w:numPr>
              <w:spacing w:before="240"/>
              <w:rPr>
                <w:u w:val="single"/>
              </w:rPr>
            </w:pPr>
            <w:r w:rsidRPr="00227348">
              <w:rPr>
                <w:rFonts w:ascii="Foundry Form Sans" w:hAnsi="Foundry Form Sans"/>
                <w:sz w:val="24"/>
                <w:szCs w:val="24"/>
                <w:lang w:val="en-US"/>
              </w:rPr>
              <w:t>Realising the benefits of London’s diversity by promoting and enabling equality of opportunities and promoting the diverse needs and aspirations of London’s communities.</w:t>
            </w:r>
            <w:r w:rsidRPr="00DE7047">
              <w:rPr>
                <w:lang w:val="en-US"/>
              </w:rPr>
              <w:t xml:space="preserve"> 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016" w:type="dxa"/>
            <w:gridSpan w:val="5"/>
            <w:vAlign w:val="center"/>
          </w:tcPr>
          <w:p w:rsidR="00303B1C" w:rsidRPr="005E5FA6" w:rsidRDefault="00303B1C" w:rsidP="00CD6849">
            <w:pPr>
              <w:rPr>
                <w:b/>
              </w:rPr>
            </w:pPr>
            <w:r w:rsidRPr="00303B1C">
              <w:rPr>
                <w:b/>
              </w:rPr>
              <w:lastRenderedPageBreak/>
              <w:t>Key contacts:</w:t>
            </w:r>
            <w:r w:rsidR="004D0782">
              <w:rPr>
                <w:b/>
              </w:rPr>
              <w:t xml:space="preserve"> 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7" w:type="dxa"/>
            <w:vAlign w:val="center"/>
          </w:tcPr>
          <w:p w:rsidR="00303B1C" w:rsidRPr="005E5FA6" w:rsidRDefault="00303B1C" w:rsidP="00CD6849">
            <w:pPr>
              <w:rPr>
                <w:b/>
              </w:rPr>
            </w:pPr>
            <w:r w:rsidRPr="00303B1C">
              <w:rPr>
                <w:b/>
              </w:rPr>
              <w:t>Accountable to:</w:t>
            </w:r>
          </w:p>
        </w:tc>
        <w:tc>
          <w:tcPr>
            <w:tcW w:w="6969" w:type="dxa"/>
            <w:gridSpan w:val="4"/>
            <w:vAlign w:val="center"/>
          </w:tcPr>
          <w:p w:rsidR="00303B1C" w:rsidRPr="00A028CA" w:rsidRDefault="007E7BEF" w:rsidP="00CD6849">
            <w:r>
              <w:t>Chief Executive Officer &amp; Chief Operating Officer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CD6849">
            <w:r w:rsidRPr="00303B1C">
              <w:rPr>
                <w:b/>
              </w:rPr>
              <w:t>Accountable for:</w:t>
            </w:r>
          </w:p>
        </w:tc>
        <w:tc>
          <w:tcPr>
            <w:tcW w:w="6969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A028CA" w:rsidRDefault="00A028CA" w:rsidP="00CD6849">
            <w:r w:rsidRPr="00A028CA">
              <w:t>Matrix Management of consultants and advisors</w:t>
            </w:r>
          </w:p>
        </w:tc>
      </w:tr>
      <w:tr w:rsidR="00DE7047" w:rsidRPr="00303B1C" w:rsidTr="00CD684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DE7047" w:rsidRPr="00303B1C" w:rsidRDefault="00DE7047" w:rsidP="00CD6849">
            <w:pPr>
              <w:rPr>
                <w:b/>
              </w:rPr>
            </w:pPr>
            <w:r w:rsidRPr="00CE7348">
              <w:rPr>
                <w:b/>
              </w:rPr>
              <w:t>Principal contacts:</w:t>
            </w:r>
          </w:p>
        </w:tc>
        <w:tc>
          <w:tcPr>
            <w:tcW w:w="6969" w:type="dxa"/>
            <w:gridSpan w:val="4"/>
            <w:tcBorders>
              <w:bottom w:val="single" w:sz="4" w:space="0" w:color="auto"/>
            </w:tcBorders>
            <w:vAlign w:val="center"/>
          </w:tcPr>
          <w:p w:rsidR="00DE7047" w:rsidRPr="00A028CA" w:rsidRDefault="00DE7047" w:rsidP="00CD6849">
            <w:r w:rsidRPr="004D0782">
              <w:t>Senior Management Team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pPr>
              <w:ind w:left="108"/>
              <w:rPr>
                <w:rFonts w:cs="Arial"/>
                <w:b/>
                <w:color w:val="000000" w:themeColor="text1"/>
                <w:u w:val="single"/>
              </w:rPr>
            </w:pPr>
            <w:r w:rsidRPr="00303B1C">
              <w:rPr>
                <w:rFonts w:cs="Arial"/>
                <w:b/>
                <w:color w:val="000000" w:themeColor="text1"/>
              </w:rPr>
              <w:t>Technical Requirements</w:t>
            </w:r>
          </w:p>
        </w:tc>
      </w:tr>
      <w:tr w:rsidR="00843AD7" w:rsidRPr="00303B1C" w:rsidTr="00CD684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016" w:type="dxa"/>
            <w:gridSpan w:val="5"/>
          </w:tcPr>
          <w:p w:rsidR="00843AD7" w:rsidRDefault="00843AD7" w:rsidP="00CD6849">
            <w:pPr>
              <w:spacing w:after="40"/>
              <w:ind w:left="828" w:right="85"/>
              <w:jc w:val="both"/>
              <w:rPr>
                <w:rFonts w:cs="Arial"/>
                <w:color w:val="000000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6002F9">
              <w:rPr>
                <w:lang w:val="en-US"/>
              </w:rPr>
              <w:t xml:space="preserve">Educated to </w:t>
            </w:r>
            <w:r>
              <w:rPr>
                <w:lang w:val="en-US"/>
              </w:rPr>
              <w:t xml:space="preserve">post graduate level with </w:t>
            </w:r>
            <w:r w:rsidR="0023023D">
              <w:rPr>
                <w:lang w:val="en-US"/>
              </w:rPr>
              <w:t>a</w:t>
            </w:r>
            <w:r w:rsidR="001F7EB9">
              <w:t xml:space="preserve"> </w:t>
            </w:r>
            <w:r w:rsidR="007E7BEF">
              <w:t xml:space="preserve">relevant </w:t>
            </w:r>
            <w:r>
              <w:rPr>
                <w:lang w:val="en-US"/>
              </w:rPr>
              <w:t>business degree</w:t>
            </w:r>
            <w:r w:rsidR="007E7BE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</w:t>
            </w:r>
            <w:r w:rsidR="001F7EB9">
              <w:rPr>
                <w:lang w:val="en-US"/>
              </w:rPr>
              <w:t xml:space="preserve">an </w:t>
            </w:r>
            <w:r>
              <w:rPr>
                <w:lang w:val="en-US"/>
              </w:rPr>
              <w:t>equivalent</w:t>
            </w:r>
            <w:r w:rsidR="001F7EB9">
              <w:rPr>
                <w:lang w:val="en-US"/>
              </w:rPr>
              <w:t xml:space="preserve"> property qualification</w:t>
            </w:r>
            <w:r w:rsidRPr="006002F9">
              <w:rPr>
                <w:lang w:val="en-US"/>
              </w:rPr>
              <w:t>.</w:t>
            </w:r>
          </w:p>
          <w:p w:rsidR="00843AD7" w:rsidRPr="006002F9" w:rsidRDefault="00843AD7" w:rsidP="00CD6849">
            <w:pPr>
              <w:ind w:left="360"/>
              <w:rPr>
                <w:lang w:val="en-US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6002F9">
              <w:rPr>
                <w:lang w:val="en-US"/>
              </w:rPr>
              <w:t>Strong</w:t>
            </w:r>
            <w:r>
              <w:rPr>
                <w:lang w:val="en-US"/>
              </w:rPr>
              <w:t xml:space="preserve"> commercial </w:t>
            </w:r>
            <w:r w:rsidR="00227348">
              <w:rPr>
                <w:lang w:val="en-US"/>
              </w:rPr>
              <w:t xml:space="preserve">and </w:t>
            </w:r>
            <w:r w:rsidR="00227348" w:rsidRPr="006002F9">
              <w:rPr>
                <w:lang w:val="en-US"/>
              </w:rPr>
              <w:t>business</w:t>
            </w:r>
            <w:r w:rsidRPr="006002F9">
              <w:rPr>
                <w:lang w:val="en-US"/>
              </w:rPr>
              <w:t xml:space="preserve"> acumen with the ability to propose solutions for achieving a strategic vision.</w:t>
            </w:r>
          </w:p>
          <w:p w:rsidR="00843AD7" w:rsidRPr="006002F9" w:rsidRDefault="00843AD7" w:rsidP="00CD6849">
            <w:pPr>
              <w:rPr>
                <w:lang w:val="en-US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Excellent industry knowledge, and</w:t>
            </w:r>
            <w:r w:rsidRPr="006002F9">
              <w:rPr>
                <w:lang w:val="en-US"/>
              </w:rPr>
              <w:t xml:space="preserve"> contacts that can be utilised to resolve issues/problems and to achieve </w:t>
            </w:r>
            <w:r>
              <w:rPr>
                <w:lang w:val="en-US"/>
              </w:rPr>
              <w:t>OPDC’s</w:t>
            </w:r>
            <w:r w:rsidRPr="006002F9">
              <w:rPr>
                <w:lang w:val="en-US"/>
              </w:rPr>
              <w:t xml:space="preserve"> strategic aims.</w:t>
            </w:r>
          </w:p>
          <w:p w:rsidR="00843AD7" w:rsidRPr="006002F9" w:rsidRDefault="00843AD7" w:rsidP="00CD6849">
            <w:pPr>
              <w:rPr>
                <w:lang w:val="en-US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6002F9">
              <w:rPr>
                <w:lang w:val="en-US"/>
              </w:rPr>
              <w:t>Demonstrates understanding of contractual issues and the ability to work with the legal team to achieve the desired commercial objectives, including overcoming legal hurdles.</w:t>
            </w:r>
          </w:p>
          <w:p w:rsidR="00843AD7" w:rsidRPr="009C0401" w:rsidRDefault="00843AD7" w:rsidP="00CD6849">
            <w:pPr>
              <w:rPr>
                <w:lang w:val="en-US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6002F9">
              <w:rPr>
                <w:lang w:val="en-US"/>
              </w:rPr>
              <w:t>Demonstrates effective negotiation skills in a commercial and financial context.</w:t>
            </w:r>
          </w:p>
          <w:p w:rsidR="00843AD7" w:rsidRDefault="00843AD7" w:rsidP="00CD6849">
            <w:pPr>
              <w:rPr>
                <w:lang w:val="en-US"/>
              </w:rPr>
            </w:pPr>
          </w:p>
          <w:p w:rsidR="007E7BEF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7E7BEF">
              <w:rPr>
                <w:lang w:val="en-US"/>
              </w:rPr>
              <w:t>Experience of alternative approaches to risk mitigation and of achieving appropriate (i.e. best Value for Money) risk allocation through contractual structures</w:t>
            </w:r>
            <w:r w:rsidR="00AF5F43">
              <w:rPr>
                <w:lang w:val="en-US"/>
              </w:rPr>
              <w:t>.</w:t>
            </w:r>
            <w:bookmarkStart w:id="0" w:name="_GoBack"/>
            <w:bookmarkEnd w:id="0"/>
            <w:r w:rsidRPr="007E7BEF">
              <w:rPr>
                <w:lang w:val="en-US"/>
              </w:rPr>
              <w:t xml:space="preserve"> </w:t>
            </w:r>
          </w:p>
          <w:p w:rsidR="007E7BEF" w:rsidRDefault="007E7BEF" w:rsidP="007E7BEF">
            <w:pPr>
              <w:pStyle w:val="ListParagraph"/>
              <w:rPr>
                <w:lang w:val="en-US"/>
              </w:rPr>
            </w:pP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6002F9">
              <w:rPr>
                <w:lang w:val="en-US"/>
              </w:rPr>
              <w:t>Experience / understanding of public sector policy and public sector finan</w:t>
            </w:r>
            <w:r>
              <w:rPr>
                <w:lang w:val="en-US"/>
              </w:rPr>
              <w:t>ces at national and local level.</w:t>
            </w:r>
            <w:r>
              <w:rPr>
                <w:lang w:val="en-US"/>
              </w:rPr>
              <w:br/>
            </w:r>
          </w:p>
          <w:p w:rsidR="00843AD7" w:rsidRDefault="00843AD7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 understanding of infrastructure development, funding/financing mechanisms and models.</w:t>
            </w:r>
            <w:r>
              <w:rPr>
                <w:lang w:val="en-US"/>
              </w:rPr>
              <w:br/>
            </w:r>
          </w:p>
          <w:p w:rsidR="00843AD7" w:rsidRDefault="00122C31" w:rsidP="00CD6849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Experience of </w:t>
            </w:r>
            <w:r w:rsidR="00843AD7">
              <w:rPr>
                <w:lang w:val="en-US"/>
              </w:rPr>
              <w:t>large</w:t>
            </w:r>
            <w:r>
              <w:rPr>
                <w:lang w:val="en-US"/>
              </w:rPr>
              <w:t xml:space="preserve"> scale and/or complex</w:t>
            </w:r>
            <w:r w:rsidR="00843AD7">
              <w:rPr>
                <w:lang w:val="en-US"/>
              </w:rPr>
              <w:t xml:space="preserve"> </w:t>
            </w:r>
            <w:r w:rsidR="002908E7">
              <w:rPr>
                <w:lang w:val="en-US"/>
              </w:rPr>
              <w:t xml:space="preserve">infrastructure lead regeneration / </w:t>
            </w:r>
            <w:r w:rsidR="00843AD7">
              <w:rPr>
                <w:lang w:val="en-US"/>
              </w:rPr>
              <w:t>development</w:t>
            </w:r>
            <w:r>
              <w:rPr>
                <w:lang w:val="en-US"/>
              </w:rPr>
              <w:t xml:space="preserve"> projects</w:t>
            </w:r>
            <w:r w:rsidR="002908E7">
              <w:rPr>
                <w:lang w:val="en-US"/>
              </w:rPr>
              <w:t>.</w:t>
            </w:r>
          </w:p>
          <w:p w:rsidR="00843AD7" w:rsidRPr="00303B1C" w:rsidRDefault="00843AD7" w:rsidP="00CD6849">
            <w:pPr>
              <w:ind w:left="828"/>
              <w:contextualSpacing/>
              <w:jc w:val="both"/>
              <w:rPr>
                <w:rFonts w:cs="Arial"/>
                <w:color w:val="000000"/>
              </w:rPr>
            </w:pP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CD6849">
            <w:pPr>
              <w:ind w:left="108"/>
              <w:rPr>
                <w:rFonts w:cs="Arial"/>
                <w:color w:val="000000"/>
              </w:rPr>
            </w:pPr>
            <w:r w:rsidRPr="00303B1C">
              <w:rPr>
                <w:rFonts w:cs="Arial"/>
                <w:b/>
                <w:color w:val="000000" w:themeColor="text1"/>
              </w:rPr>
              <w:lastRenderedPageBreak/>
              <w:t>Behavioural Competencies</w:t>
            </w:r>
          </w:p>
        </w:tc>
      </w:tr>
      <w:tr w:rsidR="00303B1C" w:rsidRPr="00303B1C" w:rsidTr="00CD6849">
        <w:tblPrEx>
          <w:tblLook w:val="0000" w:firstRow="0" w:lastRow="0" w:firstColumn="0" w:lastColumn="0" w:noHBand="0" w:noVBand="0"/>
        </w:tblPrEx>
        <w:trPr>
          <w:trHeight w:val="3913"/>
        </w:trPr>
        <w:tc>
          <w:tcPr>
            <w:tcW w:w="9016" w:type="dxa"/>
            <w:gridSpan w:val="5"/>
          </w:tcPr>
          <w:p w:rsidR="007E7BEF" w:rsidRDefault="007E7BEF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Building &amp; Managing Relationships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rFonts w:cs="FoundryFormSans-Book"/>
                <w:lang w:eastAsia="en-GB"/>
              </w:rPr>
              <w:t>… is developing rapport and working effectively with a diverse range of people, sharing knowledge and skills to deliver shared goals.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Identifies and engages a diverse range of influential contacts within</w:t>
            </w:r>
            <w:r w:rsidR="004A1642"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stakeholder and community groups, and partner organisations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Builds alliances to establish mutually beneficial working arrangements,</w:t>
            </w:r>
            <w:r w:rsidR="004A1642"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openly sharing knowledge and insights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Actively challenges and addresses ‘silo attitudes’ to encourage effective</w:t>
            </w:r>
            <w:r w:rsidR="004A1642"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relationship building inside and outside the GLA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Understands the complexities of political dynamics and uses this to</w:t>
            </w:r>
            <w:r w:rsidR="004A1642"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manage relationships and resolve conflict effectively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oundry Form Sans" w:hAnsi="Foundry Form Sans"/>
                <w:b/>
                <w:sz w:val="24"/>
                <w:szCs w:val="24"/>
                <w:u w:val="single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Identifies clear win-win situations with external partners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Stakeholder Focus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rFonts w:cs="FoundryFormSans-Book"/>
                <w:lang w:eastAsia="en-GB"/>
              </w:rPr>
              <w:t xml:space="preserve">… is consulting with, listening to and understanding the needs of those our work impacts and using this knowledge to shape what we do and manage others’ </w:t>
            </w:r>
            <w:r w:rsidRPr="004A1642">
              <w:rPr>
                <w:rFonts w:cs="FoundryFormSans-Book"/>
                <w:color w:val="4D4D4F"/>
                <w:lang w:eastAsia="en-GB"/>
              </w:rPr>
              <w:t>expectations.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Adapts objectives and the GLA’s public facing position based on the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context behind stakeholder needs and requests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Builds the GLA’s reputation as an organisation committed to meeting the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needs of Londoners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Manages partner organisations’ and Londoners’ expectations of the GLA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by anticipating and influencing changing priorities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Instils a culture that encourages GLA staff to think about meeting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Londoners’ needs first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Builds the confidence of staff, partner organisations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Communication &amp; Influencing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rFonts w:cs="FoundryFormSans-Book"/>
                <w:lang w:eastAsia="en-GB"/>
              </w:rPr>
              <w:t>… is presenting information and arguments clearly and convincingly so that others see us as credible and articulate, and engage with us.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Articulates self with credibility and conviction, encouraging buy-in to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corporate position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Influences the thinking of other organisations, encouraging them to deliver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 line with the GLA</w:t>
            </w:r>
          </w:p>
          <w:p w:rsidR="00284876" w:rsidRPr="004D5B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Ensures that the organisation communicates inclusively with staff and</w:t>
            </w:r>
            <w:r w:rsidR="004D5B77"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4D5B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external stakeholders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Acts as a credible and convincing spokesperson and negotiator for the GLA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Instils a corporate commitment to accessible communication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Strategic Thinking</w:t>
            </w:r>
          </w:p>
          <w:p w:rsidR="00284876" w:rsidRPr="004A1642" w:rsidRDefault="00284876" w:rsidP="00CD6849">
            <w:r w:rsidRPr="004A1642">
              <w:t>... is using an understanding of the bigger picture to uncover potential challenges and opportunities for the long term and turning those into a compelling vision for action.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B26D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Develops a positive and compelling vision of London’s future potential,</w:t>
            </w:r>
            <w:r w:rsidR="00B26D77"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demonstrating confidence in the strategic direction of the GLA</w:t>
            </w:r>
          </w:p>
          <w:p w:rsidR="00284876" w:rsidRPr="00B26D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Translates an understanding of the complex and diverse threats and issues</w:t>
            </w:r>
            <w:r w:rsidR="00B26D77"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facing London into positive action</w:t>
            </w:r>
          </w:p>
          <w:p w:rsidR="00284876" w:rsidRPr="00B26D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Proactively involves partners in strategic thinking, incorporating their views</w:t>
            </w:r>
            <w:r w:rsidR="00B26D77"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into plans and working with them to align strategic priorities</w:t>
            </w:r>
          </w:p>
          <w:p w:rsidR="00284876" w:rsidRPr="00B26D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Sets organisational priorities by identifying where time and investment is</w:t>
            </w:r>
            <w:r w:rsidR="00B26D77"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needed most</w:t>
            </w:r>
          </w:p>
          <w:p w:rsidR="00284876" w:rsidRPr="00B26D77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Generates and leads strategic initiatives that reflect the GLA’s position as a</w:t>
            </w:r>
            <w:r w:rsidR="00B26D77"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B26D77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regional authority</w:t>
            </w:r>
          </w:p>
          <w:p w:rsidR="00284876" w:rsidRDefault="00284876" w:rsidP="00CD6849">
            <w:pPr>
              <w:rPr>
                <w:b/>
                <w:u w:val="single"/>
              </w:rPr>
            </w:pPr>
          </w:p>
          <w:p w:rsidR="00B26D77" w:rsidRDefault="00B26D77" w:rsidP="00CD6849">
            <w:pPr>
              <w:rPr>
                <w:b/>
                <w:u w:val="single"/>
              </w:rPr>
            </w:pPr>
          </w:p>
          <w:p w:rsidR="00B26D77" w:rsidRPr="004A1642" w:rsidRDefault="00B26D7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Managing &amp; Developing Performance</w:t>
            </w:r>
          </w:p>
          <w:p w:rsidR="00284876" w:rsidRPr="004A1642" w:rsidRDefault="00284876" w:rsidP="00CD6849">
            <w:p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4A1642">
              <w:rPr>
                <w:rFonts w:cs="FoundryFormSans-Book"/>
                <w:lang w:eastAsia="en-GB"/>
              </w:rPr>
              <w:t>… is setting high standards for oneself and others, guiding, motivating and developing them, to achieve high performance and meet the GLA’s objectives and statutory obligations.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Creates an organisation that learns from experience</w:t>
            </w:r>
          </w:p>
          <w:p w:rsidR="00284876" w:rsidRPr="002F39D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Sets clear organisational objectives, cascading challenging yet achievable</w:t>
            </w:r>
            <w:r w:rsidR="002F39D6"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deliverables to directorates</w:t>
            </w:r>
          </w:p>
          <w:p w:rsidR="00284876" w:rsidRPr="002F39D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Identifies strategic level performance indicators and communicates these</w:t>
            </w:r>
            <w:r w:rsidR="002F39D6"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clearly</w:t>
            </w:r>
          </w:p>
          <w:p w:rsidR="00284876" w:rsidRPr="002F39D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Leads and sets an example for desired behaviour and performance for</w:t>
            </w:r>
            <w:r w:rsidR="002F39D6"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GLA staff</w:t>
            </w:r>
          </w:p>
          <w:p w:rsidR="00284876" w:rsidRPr="002F39D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Instils a culture of high performance and outstanding results where staff</w:t>
            </w:r>
            <w:r w:rsidR="002F39D6"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are encouraged to perform to their best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Decision Making</w:t>
            </w:r>
          </w:p>
          <w:p w:rsidR="00284876" w:rsidRPr="004A1642" w:rsidRDefault="00284876" w:rsidP="00CD6849">
            <w:pPr>
              <w:autoSpaceDE w:val="0"/>
              <w:autoSpaceDN w:val="0"/>
              <w:adjustRightInd w:val="0"/>
              <w:rPr>
                <w:rFonts w:cs="FoundryFormSans-Book"/>
                <w:lang w:eastAsia="en-GB"/>
              </w:rPr>
            </w:pPr>
            <w:r w:rsidRPr="004A1642">
              <w:rPr>
                <w:rFonts w:cs="FoundryFormSans-Book"/>
                <w:lang w:eastAsia="en-GB"/>
              </w:rPr>
              <w:t xml:space="preserve">… is forming sound, evidence based judgements, making choices, assessing risks to delivery, and taking </w:t>
            </w:r>
            <w:r w:rsidR="000B68A4" w:rsidRPr="004A1642">
              <w:rPr>
                <w:rFonts w:cs="FoundryFormSans-Book"/>
                <w:lang w:eastAsia="en-GB"/>
              </w:rPr>
              <w:t>accountability for</w:t>
            </w:r>
            <w:r w:rsidRPr="004A1642">
              <w:rPr>
                <w:rFonts w:cs="FoundryFormSans-Book"/>
                <w:lang w:eastAsia="en-GB"/>
              </w:rPr>
              <w:t xml:space="preserve"> results.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Makes difficult decisions for the long term benefit of the organisation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Presents and instills confidence in strategic decision-making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Consults stakeholders early in critical organisation-wide decisions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Stands by the decisions and actions of the GLA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Accepts and promotes accountability for the GLA’s decision making</w:t>
            </w:r>
          </w:p>
          <w:p w:rsidR="00284876" w:rsidRPr="002F39D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Ensures the organisation balances effective risk management with the</w:t>
            </w:r>
            <w:r w:rsidR="002F39D6"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2F39D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need for timely actions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Planning &amp; Organising</w:t>
            </w:r>
          </w:p>
          <w:p w:rsidR="00284876" w:rsidRPr="004A1642" w:rsidRDefault="00284876" w:rsidP="00CD684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thinking ahead, managing time, priorities and risk, and developing structured and efficient approaches to deliver work on time and to a high standard.</w:t>
            </w: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Takes accountability for monitoring delivery of the GLA’s commitments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Uses quality assurance processes across the organisation as a feedback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mechanism to improve performance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Takes responsibility for ensuring tools and techniques are available for the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effective management of programmes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Realigns GLA objectives to respond to changing external &amp; internal agendas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Uses feedback from all sectors as a performance measure for GLA work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5C4844" w:rsidRPr="004A1642" w:rsidRDefault="005C4844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Problem Solving</w:t>
            </w:r>
          </w:p>
          <w:p w:rsidR="00284876" w:rsidRPr="004A1642" w:rsidRDefault="00284876" w:rsidP="00CD684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analysing and interpreting situations from a variety of viewpoints and finding creative, workable and timely solutions.</w:t>
            </w: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Seeks multiple perspectives to understand the breadth and depth of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complex issues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Produces strategies to solve organisation-wide problems, considering the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practical and political concerns associated with the implementation of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solutions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Enables the GLA to continuously improve and innovate in the long term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Problem solves jointly with others to stimulate innovation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Turns ambiguous or difficult situations into opportunities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Research &amp; Analysis</w:t>
            </w: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rFonts w:cs="FoundryFormSans-Book"/>
                <w:lang w:eastAsia="en-GB"/>
              </w:rPr>
              <w:t>… is gathering intelligence (information, opinion and data) from varied sources, making sense of it, testing its validity and drawing conclusions that can lead to practical benefits.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Exchanges ideas and knowledge with partners, subject-matter experts, and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senior stakeholders to foster new research agendas and derive insights for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the GLA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Takes accountability for the quality of intelligence that research and new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policy are based upon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Encourages new and innovative insights from analysis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Evaluates the feasibility and cost effectiveness of research proposals,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stringently assessing whether the research will add real value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Encourages research with a highly practical focus and maximum impact for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Londoners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Default="00284876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843AD7" w:rsidRPr="004A1642" w:rsidRDefault="00843AD7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Responsible use of resources</w:t>
            </w:r>
          </w:p>
          <w:p w:rsidR="00284876" w:rsidRPr="004A1642" w:rsidRDefault="00284876" w:rsidP="00CD684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taking personal responsibility for using and managing resources effectively, efficiently and sustainably.</w:t>
            </w: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Explores different options for funding and income generation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Sets budgets, understanding current costs and challenging teams to deliver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greater efficiency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Monitors resource allocation across the organisation, ensuring the GLA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works within budget and resources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Ensures the GLA procures and uses resources fairly and responsibly and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with regard for environmental efficiencies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Leads initiatives to identify and deliver efficiencies across the GLA Group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and through partnership working</w:t>
            </w:r>
          </w:p>
          <w:p w:rsidR="00284876" w:rsidRDefault="00284876" w:rsidP="00CD6849">
            <w:pPr>
              <w:rPr>
                <w:b/>
                <w:u w:val="single"/>
              </w:rPr>
            </w:pPr>
          </w:p>
          <w:p w:rsidR="005C4844" w:rsidRPr="004A1642" w:rsidRDefault="005C4844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Operational Awareness</w:t>
            </w:r>
          </w:p>
          <w:p w:rsidR="00284876" w:rsidRPr="004A1642" w:rsidRDefault="00284876" w:rsidP="00CD6849">
            <w:r w:rsidRPr="004A1642">
              <w:t>… is understanding and being sensitive to organisational dynamics, culture and politics across and beyond the GLA and shaping our approach accordingly.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Focuses on the needs of Londoners, promoting organisational awareness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of how they impact GLA priorities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Anticipates and responds appropriately and professionally to political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pressure, inspiring confidence and trust from politicians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Shapes senior stakeholders’ perceptions of the GLA, using their influence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to support the GLA agenda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Influences Londoners’ perceptions of the GLA, using the Media where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appropriate</w:t>
            </w:r>
          </w:p>
          <w:p w:rsidR="00284876" w:rsidRPr="005C4844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Leads the organisation by setting the highest standard in upholding</w:t>
            </w:r>
            <w:r w:rsidR="005C4844"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C4844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integrity and ethical behaviour</w:t>
            </w:r>
          </w:p>
          <w:p w:rsidR="00284876" w:rsidRPr="004A1642" w:rsidRDefault="00284876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843AD7" w:rsidRDefault="00843AD7" w:rsidP="00CD6849">
            <w:pPr>
              <w:rPr>
                <w:b/>
                <w:u w:val="single"/>
              </w:rPr>
            </w:pPr>
          </w:p>
          <w:p w:rsidR="00284876" w:rsidRPr="004A1642" w:rsidRDefault="00284876" w:rsidP="00CD6849">
            <w:pPr>
              <w:rPr>
                <w:b/>
                <w:u w:val="single"/>
              </w:rPr>
            </w:pPr>
            <w:r w:rsidRPr="004A1642">
              <w:rPr>
                <w:b/>
                <w:u w:val="single"/>
              </w:rPr>
              <w:t>Responding to Pressure and Change</w:t>
            </w:r>
          </w:p>
          <w:p w:rsidR="00284876" w:rsidRPr="004A1642" w:rsidRDefault="00284876" w:rsidP="00CD684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being flexible and adapting positively, to sustain performance when the situation changes, workload increases, tensions rise or priorities shift.</w:t>
            </w:r>
          </w:p>
          <w:p w:rsidR="00284876" w:rsidRPr="004A1642" w:rsidRDefault="00284876" w:rsidP="00CD6849">
            <w:pPr>
              <w:rPr>
                <w:rFonts w:cs="FoundryFormSans-Book"/>
                <w:lang w:eastAsia="en-GB"/>
              </w:rPr>
            </w:pPr>
            <w:r w:rsidRPr="004A1642">
              <w:rPr>
                <w:u w:val="single"/>
              </w:rPr>
              <w:t>Level 4 indicators of effective performance</w:t>
            </w:r>
          </w:p>
          <w:p w:rsidR="00284876" w:rsidRPr="005D207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Demonstrates resilience in the face of challenge from staff, media and</w:t>
            </w:r>
            <w:r w:rsidR="005D2076"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partner organisations</w:t>
            </w:r>
          </w:p>
          <w:p w:rsidR="00284876" w:rsidRPr="005D207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Promotes the GLA as a flexible organisation, responding to the changing</w:t>
            </w:r>
            <w:r w:rsidR="005D2076"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needs of Londoners</w:t>
            </w:r>
          </w:p>
          <w:p w:rsidR="00284876" w:rsidRPr="005D207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Shows positivity in the face of external pressure, minimising negative</w:t>
            </w:r>
            <w:r w:rsidR="005D2076"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impact</w:t>
            </w:r>
          </w:p>
          <w:p w:rsidR="00284876" w:rsidRPr="004A1642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4A1642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Drives a culture of continuous improvement</w:t>
            </w:r>
          </w:p>
          <w:p w:rsidR="00284876" w:rsidRPr="005D2076" w:rsidRDefault="00284876" w:rsidP="00CD68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 Form Sans" w:hAnsi="Foundry Form Sans" w:cs="Helvetica"/>
                <w:sz w:val="24"/>
                <w:szCs w:val="24"/>
              </w:rPr>
            </w:pP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Sets the direction for organisational development and ensures effective</w:t>
            </w:r>
            <w:r w:rsidR="005D2076"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</w:t>
            </w:r>
            <w:r w:rsidRPr="005D207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communication of change initiatives</w:t>
            </w:r>
          </w:p>
          <w:p w:rsidR="00303B1C" w:rsidRPr="004A1642" w:rsidRDefault="00303B1C" w:rsidP="00CD6849">
            <w:pPr>
              <w:rPr>
                <w:b/>
                <w:u w:val="single"/>
              </w:rPr>
            </w:pPr>
          </w:p>
        </w:tc>
      </w:tr>
    </w:tbl>
    <w:p w:rsidR="00AF22A0" w:rsidRPr="00AF22A0" w:rsidRDefault="00AF22A0" w:rsidP="00AF22A0"/>
    <w:sectPr w:rsidR="00AF22A0" w:rsidRPr="00AF22A0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28" w:rsidRDefault="00594E28" w:rsidP="00D24366">
      <w:r>
        <w:separator/>
      </w:r>
    </w:p>
  </w:endnote>
  <w:endnote w:type="continuationSeparator" w:id="0">
    <w:p w:rsidR="00594E28" w:rsidRDefault="00594E28" w:rsidP="00D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undryFormSans-Boo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28" w:rsidRDefault="00594E28" w:rsidP="00D24366">
      <w:r>
        <w:separator/>
      </w:r>
    </w:p>
  </w:footnote>
  <w:footnote w:type="continuationSeparator" w:id="0">
    <w:p w:rsidR="00594E28" w:rsidRDefault="00594E28" w:rsidP="00D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2F" w:rsidRDefault="00E8312F">
    <w:pPr>
      <w:pStyle w:val="Header"/>
    </w:pPr>
    <w:r>
      <w:tab/>
    </w:r>
    <w:r>
      <w:tab/>
    </w:r>
    <w:r>
      <w:rPr>
        <w:b/>
        <w:noProof/>
        <w:color w:val="BFBFBF"/>
        <w:sz w:val="28"/>
        <w:szCs w:val="28"/>
        <w:lang w:eastAsia="en-GB"/>
      </w:rPr>
      <w:drawing>
        <wp:inline distT="0" distB="0" distL="0" distR="0" wp14:anchorId="20CE7971" wp14:editId="2C159BA6">
          <wp:extent cx="866775" cy="627665"/>
          <wp:effectExtent l="0" t="0" r="0" b="1270"/>
          <wp:docPr id="1" name="Picture 1" descr="opd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dc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09" cy="6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C72"/>
    <w:multiLevelType w:val="hybridMultilevel"/>
    <w:tmpl w:val="A4D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4264"/>
    <w:multiLevelType w:val="hybridMultilevel"/>
    <w:tmpl w:val="934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AA7"/>
    <w:multiLevelType w:val="hybridMultilevel"/>
    <w:tmpl w:val="F39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152"/>
    <w:multiLevelType w:val="hybridMultilevel"/>
    <w:tmpl w:val="515C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739"/>
    <w:multiLevelType w:val="hybridMultilevel"/>
    <w:tmpl w:val="718A24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C"/>
    <w:rsid w:val="000136B9"/>
    <w:rsid w:val="000B68A4"/>
    <w:rsid w:val="000E08A9"/>
    <w:rsid w:val="00122C31"/>
    <w:rsid w:val="00140C76"/>
    <w:rsid w:val="001F7EB9"/>
    <w:rsid w:val="00215F5F"/>
    <w:rsid w:val="00227348"/>
    <w:rsid w:val="0023023D"/>
    <w:rsid w:val="00280AC9"/>
    <w:rsid w:val="00284876"/>
    <w:rsid w:val="00286F71"/>
    <w:rsid w:val="002908A7"/>
    <w:rsid w:val="002908E7"/>
    <w:rsid w:val="002E66FC"/>
    <w:rsid w:val="002F39D6"/>
    <w:rsid w:val="00303B1C"/>
    <w:rsid w:val="0035694F"/>
    <w:rsid w:val="00480240"/>
    <w:rsid w:val="0048428B"/>
    <w:rsid w:val="004A1642"/>
    <w:rsid w:val="004D0782"/>
    <w:rsid w:val="004D5B77"/>
    <w:rsid w:val="00594E28"/>
    <w:rsid w:val="005C4844"/>
    <w:rsid w:val="005D2076"/>
    <w:rsid w:val="005E5FA6"/>
    <w:rsid w:val="006D3AFE"/>
    <w:rsid w:val="00790032"/>
    <w:rsid w:val="007D01C7"/>
    <w:rsid w:val="007E7BEF"/>
    <w:rsid w:val="00805061"/>
    <w:rsid w:val="008433EB"/>
    <w:rsid w:val="00843AD7"/>
    <w:rsid w:val="00874AFF"/>
    <w:rsid w:val="008C5F4E"/>
    <w:rsid w:val="008F3951"/>
    <w:rsid w:val="009415F8"/>
    <w:rsid w:val="00943431"/>
    <w:rsid w:val="00990454"/>
    <w:rsid w:val="009B0203"/>
    <w:rsid w:val="00A028CA"/>
    <w:rsid w:val="00A37FA6"/>
    <w:rsid w:val="00AD05F1"/>
    <w:rsid w:val="00AF22A0"/>
    <w:rsid w:val="00AF5F43"/>
    <w:rsid w:val="00B17D63"/>
    <w:rsid w:val="00B26D77"/>
    <w:rsid w:val="00BA2709"/>
    <w:rsid w:val="00BE5379"/>
    <w:rsid w:val="00C628B1"/>
    <w:rsid w:val="00C62FE2"/>
    <w:rsid w:val="00CD6849"/>
    <w:rsid w:val="00D24366"/>
    <w:rsid w:val="00D43831"/>
    <w:rsid w:val="00D453B3"/>
    <w:rsid w:val="00D6549B"/>
    <w:rsid w:val="00DA64A5"/>
    <w:rsid w:val="00DD7E4A"/>
    <w:rsid w:val="00DE7047"/>
    <w:rsid w:val="00E12D02"/>
    <w:rsid w:val="00E8312F"/>
    <w:rsid w:val="00EA688F"/>
    <w:rsid w:val="00EB79D6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AA89F"/>
  <w15:docId w15:val="{26AA7C83-8B7C-43E7-B2A0-37B18B8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366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366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5FA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C5F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5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F4E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4E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0483-2F57-4FCF-A79D-9247ED1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Preston</dc:creator>
  <cp:lastModifiedBy>Karen Passley</cp:lastModifiedBy>
  <cp:revision>3</cp:revision>
  <dcterms:created xsi:type="dcterms:W3CDTF">2017-09-18T12:23:00Z</dcterms:created>
  <dcterms:modified xsi:type="dcterms:W3CDTF">2017-09-18T13:22:00Z</dcterms:modified>
</cp:coreProperties>
</file>