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5"/>
        <w:tblW w:w="0" w:type="auto"/>
        <w:tblLook w:val="04A0" w:firstRow="1" w:lastRow="0" w:firstColumn="1" w:lastColumn="0" w:noHBand="0" w:noVBand="1"/>
      </w:tblPr>
      <w:tblGrid>
        <w:gridCol w:w="2049"/>
        <w:gridCol w:w="199"/>
        <w:gridCol w:w="2576"/>
        <w:gridCol w:w="1991"/>
        <w:gridCol w:w="2201"/>
      </w:tblGrid>
      <w:tr w:rsidR="00303B1C" w:rsidRPr="00303B1C" w:rsidTr="00623911">
        <w:tc>
          <w:tcPr>
            <w:tcW w:w="9242" w:type="dxa"/>
            <w:gridSpan w:val="5"/>
            <w:shd w:val="clear" w:color="auto" w:fill="D9D9D9" w:themeFill="background1" w:themeFillShade="D9"/>
            <w:vAlign w:val="center"/>
          </w:tcPr>
          <w:p w:rsidR="00303B1C" w:rsidRPr="00303B1C" w:rsidRDefault="00303B1C" w:rsidP="00623911">
            <w:pPr>
              <w:jc w:val="center"/>
              <w:rPr>
                <w:b/>
                <w:sz w:val="28"/>
                <w:szCs w:val="28"/>
              </w:rPr>
            </w:pPr>
          </w:p>
          <w:p w:rsidR="00303B1C" w:rsidRPr="00303B1C" w:rsidRDefault="00303B1C" w:rsidP="00623911">
            <w:pPr>
              <w:jc w:val="center"/>
              <w:rPr>
                <w:b/>
                <w:sz w:val="32"/>
                <w:szCs w:val="32"/>
              </w:rPr>
            </w:pPr>
            <w:r w:rsidRPr="00303B1C">
              <w:rPr>
                <w:b/>
                <w:sz w:val="32"/>
                <w:szCs w:val="32"/>
              </w:rPr>
              <w:t>Job Description</w:t>
            </w:r>
          </w:p>
          <w:p w:rsidR="00303B1C" w:rsidRPr="00303B1C" w:rsidRDefault="00303B1C" w:rsidP="00623911">
            <w:pPr>
              <w:jc w:val="center"/>
            </w:pPr>
          </w:p>
        </w:tc>
      </w:tr>
      <w:tr w:rsidR="00303B1C" w:rsidRPr="00303B1C" w:rsidTr="00623911">
        <w:trPr>
          <w:trHeight w:val="471"/>
        </w:trPr>
        <w:tc>
          <w:tcPr>
            <w:tcW w:w="2273" w:type="dxa"/>
            <w:gridSpan w:val="2"/>
            <w:shd w:val="clear" w:color="auto" w:fill="D9D9D9" w:themeFill="background1" w:themeFillShade="D9"/>
            <w:vAlign w:val="center"/>
          </w:tcPr>
          <w:p w:rsidR="00303B1C" w:rsidRPr="00303B1C" w:rsidRDefault="00303B1C" w:rsidP="00623911">
            <w:r w:rsidRPr="00303B1C">
              <w:rPr>
                <w:b/>
              </w:rPr>
              <w:t>Job Title:</w:t>
            </w:r>
          </w:p>
        </w:tc>
        <w:tc>
          <w:tcPr>
            <w:tcW w:w="6969" w:type="dxa"/>
            <w:gridSpan w:val="3"/>
            <w:vAlign w:val="center"/>
          </w:tcPr>
          <w:p w:rsidR="00303B1C" w:rsidRPr="00846A63" w:rsidRDefault="002651BC" w:rsidP="00CE0957">
            <w:r>
              <w:t>Technical</w:t>
            </w:r>
            <w:r w:rsidR="00DF4DF7">
              <w:t xml:space="preserve"> </w:t>
            </w:r>
            <w:r w:rsidR="00846A63" w:rsidRPr="00846A63">
              <w:t>Director</w:t>
            </w:r>
          </w:p>
        </w:tc>
      </w:tr>
      <w:tr w:rsidR="00D24366" w:rsidRPr="00303B1C" w:rsidTr="00623911">
        <w:trPr>
          <w:trHeight w:val="420"/>
        </w:trPr>
        <w:tc>
          <w:tcPr>
            <w:tcW w:w="2273" w:type="dxa"/>
            <w:gridSpan w:val="2"/>
            <w:shd w:val="clear" w:color="auto" w:fill="D9D9D9" w:themeFill="background1" w:themeFillShade="D9"/>
            <w:vAlign w:val="center"/>
          </w:tcPr>
          <w:p w:rsidR="00303B1C" w:rsidRPr="00303B1C" w:rsidRDefault="00303B1C" w:rsidP="00623911">
            <w:r w:rsidRPr="00303B1C">
              <w:rPr>
                <w:b/>
              </w:rPr>
              <w:t>Grade:</w:t>
            </w:r>
          </w:p>
        </w:tc>
        <w:tc>
          <w:tcPr>
            <w:tcW w:w="2655" w:type="dxa"/>
            <w:vAlign w:val="center"/>
          </w:tcPr>
          <w:p w:rsidR="00303B1C" w:rsidRPr="00303B1C" w:rsidRDefault="00846A63" w:rsidP="00623911">
            <w:r>
              <w:t>14</w:t>
            </w:r>
            <w:r w:rsidR="008A31CB">
              <w:t xml:space="preserve"> </w:t>
            </w:r>
          </w:p>
        </w:tc>
        <w:tc>
          <w:tcPr>
            <w:tcW w:w="2039" w:type="dxa"/>
            <w:shd w:val="clear" w:color="auto" w:fill="D9D9D9" w:themeFill="background1" w:themeFillShade="D9"/>
            <w:vAlign w:val="center"/>
          </w:tcPr>
          <w:p w:rsidR="00303B1C" w:rsidRPr="00303B1C" w:rsidRDefault="00303B1C" w:rsidP="00623911">
            <w:r w:rsidRPr="00303B1C">
              <w:rPr>
                <w:b/>
              </w:rPr>
              <w:t>Post No:</w:t>
            </w:r>
          </w:p>
        </w:tc>
        <w:tc>
          <w:tcPr>
            <w:tcW w:w="2275" w:type="dxa"/>
            <w:vAlign w:val="center"/>
          </w:tcPr>
          <w:p w:rsidR="00303B1C" w:rsidRPr="00846A63" w:rsidRDefault="00303B1C" w:rsidP="00CE0957"/>
        </w:tc>
      </w:tr>
      <w:tr w:rsidR="00303B1C" w:rsidRPr="00303B1C" w:rsidTr="00623911">
        <w:trPr>
          <w:trHeight w:val="425"/>
        </w:trPr>
        <w:tc>
          <w:tcPr>
            <w:tcW w:w="2273" w:type="dxa"/>
            <w:gridSpan w:val="2"/>
            <w:shd w:val="clear" w:color="auto" w:fill="D9D9D9" w:themeFill="background1" w:themeFillShade="D9"/>
            <w:vAlign w:val="center"/>
          </w:tcPr>
          <w:p w:rsidR="00303B1C" w:rsidRPr="00303B1C" w:rsidRDefault="00303B1C" w:rsidP="00623911">
            <w:r w:rsidRPr="00303B1C">
              <w:rPr>
                <w:b/>
              </w:rPr>
              <w:t>Directorate:</w:t>
            </w:r>
          </w:p>
        </w:tc>
        <w:tc>
          <w:tcPr>
            <w:tcW w:w="6969" w:type="dxa"/>
            <w:gridSpan w:val="3"/>
            <w:vAlign w:val="center"/>
          </w:tcPr>
          <w:p w:rsidR="00303B1C" w:rsidRPr="00846A63" w:rsidRDefault="002651BC" w:rsidP="002651BC">
            <w:r>
              <w:t xml:space="preserve">Technical </w:t>
            </w:r>
          </w:p>
        </w:tc>
      </w:tr>
      <w:tr w:rsidR="00303B1C" w:rsidRPr="00303B1C" w:rsidTr="00623911">
        <w:tblPrEx>
          <w:tblLook w:val="0000" w:firstRow="0" w:lastRow="0" w:firstColumn="0" w:lastColumn="0" w:noHBand="0" w:noVBand="0"/>
        </w:tblPrEx>
        <w:trPr>
          <w:trHeight w:val="404"/>
        </w:trPr>
        <w:tc>
          <w:tcPr>
            <w:tcW w:w="9242" w:type="dxa"/>
            <w:gridSpan w:val="5"/>
            <w:tcBorders>
              <w:bottom w:val="single" w:sz="4" w:space="0" w:color="auto"/>
            </w:tcBorders>
            <w:vAlign w:val="center"/>
          </w:tcPr>
          <w:p w:rsidR="00303B1C" w:rsidRPr="00303B1C" w:rsidRDefault="00303B1C" w:rsidP="00623911">
            <w:r w:rsidRPr="00303B1C">
              <w:rPr>
                <w:b/>
              </w:rPr>
              <w:t>Job Purpose</w:t>
            </w:r>
          </w:p>
        </w:tc>
      </w:tr>
      <w:tr w:rsidR="00303B1C" w:rsidRPr="00303B1C" w:rsidTr="00623911">
        <w:tblPrEx>
          <w:tblLook w:val="0000" w:firstRow="0" w:lastRow="0" w:firstColumn="0" w:lastColumn="0" w:noHBand="0" w:noVBand="0"/>
        </w:tblPrEx>
        <w:trPr>
          <w:trHeight w:val="5779"/>
        </w:trPr>
        <w:tc>
          <w:tcPr>
            <w:tcW w:w="9242" w:type="dxa"/>
            <w:gridSpan w:val="5"/>
            <w:tcBorders>
              <w:bottom w:val="single" w:sz="4" w:space="0" w:color="auto"/>
            </w:tcBorders>
          </w:tcPr>
          <w:p w:rsidR="00303B1C" w:rsidRPr="00303B1C" w:rsidRDefault="00303B1C" w:rsidP="00623911">
            <w:pPr>
              <w:ind w:left="108"/>
            </w:pPr>
          </w:p>
          <w:p w:rsidR="00B0250D" w:rsidRPr="00B0250D" w:rsidRDefault="003865DC" w:rsidP="00C34A72">
            <w:pPr>
              <w:numPr>
                <w:ilvl w:val="0"/>
                <w:numId w:val="17"/>
              </w:numPr>
            </w:pPr>
            <w:r>
              <w:rPr>
                <w:rFonts w:cstheme="minorHAnsi"/>
              </w:rPr>
              <w:t xml:space="preserve">Lead </w:t>
            </w:r>
            <w:r w:rsidR="00B0250D" w:rsidRPr="001B2E5A">
              <w:rPr>
                <w:rFonts w:cstheme="minorHAnsi"/>
              </w:rPr>
              <w:t>and manage</w:t>
            </w:r>
            <w:r w:rsidR="00B0250D">
              <w:rPr>
                <w:rFonts w:cstheme="minorHAnsi"/>
              </w:rPr>
              <w:t xml:space="preserve"> a</w:t>
            </w:r>
            <w:r w:rsidR="00B0250D" w:rsidRPr="001B2E5A">
              <w:rPr>
                <w:rFonts w:cstheme="minorHAnsi"/>
              </w:rPr>
              <w:t xml:space="preserve"> team</w:t>
            </w:r>
            <w:r w:rsidR="00B0250D">
              <w:rPr>
                <w:rFonts w:cstheme="minorHAnsi"/>
              </w:rPr>
              <w:t xml:space="preserve"> of programme managers, project managers and Infrastructure professionals</w:t>
            </w:r>
            <w:r w:rsidR="00B0250D" w:rsidRPr="001B2E5A">
              <w:rPr>
                <w:rFonts w:cstheme="minorHAnsi"/>
              </w:rPr>
              <w:t xml:space="preserve"> </w:t>
            </w:r>
            <w:r w:rsidR="00B0250D">
              <w:rPr>
                <w:rFonts w:cstheme="minorHAnsi"/>
              </w:rPr>
              <w:t>to fulfil OPDC’s business plan objectives and long term regeneration vision, leading the Corporation’s development delivery and infrastructure programmes</w:t>
            </w:r>
            <w:r w:rsidR="00B0250D" w:rsidRPr="00F3398F">
              <w:rPr>
                <w:rFonts w:cstheme="minorHAnsi"/>
              </w:rPr>
              <w:t>.</w:t>
            </w:r>
          </w:p>
          <w:p w:rsidR="00B0250D" w:rsidRPr="00F3398F" w:rsidRDefault="00B0250D" w:rsidP="00F411A9"/>
          <w:p w:rsidR="00E76A9C" w:rsidRPr="00E76A9C" w:rsidRDefault="00E970DA" w:rsidP="00C34A72">
            <w:pPr>
              <w:numPr>
                <w:ilvl w:val="0"/>
                <w:numId w:val="17"/>
              </w:numPr>
            </w:pPr>
            <w:r>
              <w:rPr>
                <w:rFonts w:cstheme="minorHAnsi"/>
              </w:rPr>
              <w:t>Provide strategic o</w:t>
            </w:r>
            <w:r w:rsidR="00421F15">
              <w:rPr>
                <w:rFonts w:cstheme="minorHAnsi"/>
              </w:rPr>
              <w:t xml:space="preserve">versight of </w:t>
            </w:r>
            <w:r w:rsidR="002651BC">
              <w:rPr>
                <w:rFonts w:cstheme="minorHAnsi"/>
              </w:rPr>
              <w:t xml:space="preserve">a </w:t>
            </w:r>
            <w:r w:rsidR="00CE0957">
              <w:rPr>
                <w:rFonts w:cstheme="minorHAnsi"/>
              </w:rPr>
              <w:t xml:space="preserve">portfolio of major projects through </w:t>
            </w:r>
            <w:r w:rsidR="00E76A9C">
              <w:rPr>
                <w:rFonts w:cstheme="minorHAnsi"/>
              </w:rPr>
              <w:t>the full lifecycle</w:t>
            </w:r>
            <w:r w:rsidR="00CE0957">
              <w:rPr>
                <w:rFonts w:cstheme="minorHAnsi"/>
              </w:rPr>
              <w:t xml:space="preserve">, </w:t>
            </w:r>
            <w:r>
              <w:rPr>
                <w:rFonts w:cstheme="minorHAnsi"/>
              </w:rPr>
              <w:t xml:space="preserve">leading on financial control and governance, </w:t>
            </w:r>
            <w:r w:rsidR="00846A63" w:rsidRPr="001B2E5A">
              <w:rPr>
                <w:rFonts w:cstheme="minorHAnsi"/>
              </w:rPr>
              <w:t xml:space="preserve">providing </w:t>
            </w:r>
            <w:r w:rsidR="00846A63" w:rsidRPr="001B2E5A">
              <w:rPr>
                <w:rFonts w:eastAsia="Calibri" w:cstheme="minorHAnsi"/>
              </w:rPr>
              <w:t xml:space="preserve">advice and leadership </w:t>
            </w:r>
            <w:r w:rsidR="00E76A9C">
              <w:rPr>
                <w:rFonts w:eastAsia="Calibri" w:cstheme="minorHAnsi"/>
              </w:rPr>
              <w:t>to both the internal team and a diverse team of technical consultants</w:t>
            </w:r>
            <w:r w:rsidR="00C35FFA">
              <w:rPr>
                <w:rFonts w:eastAsia="Calibri" w:cstheme="minorHAnsi"/>
              </w:rPr>
              <w:t xml:space="preserve"> </w:t>
            </w:r>
            <w:r w:rsidR="00CA04C2">
              <w:rPr>
                <w:rFonts w:eastAsia="Calibri" w:cstheme="minorHAnsi"/>
              </w:rPr>
              <w:t>and project managers</w:t>
            </w:r>
            <w:r w:rsidR="00E76A9C">
              <w:rPr>
                <w:rFonts w:eastAsia="Calibri" w:cstheme="minorHAnsi"/>
              </w:rPr>
              <w:t>.</w:t>
            </w:r>
          </w:p>
          <w:p w:rsidR="00C35FFA" w:rsidRPr="00A52421" w:rsidRDefault="00C35FFA" w:rsidP="00A52421">
            <w:pPr>
              <w:rPr>
                <w:rFonts w:cstheme="minorHAnsi"/>
              </w:rPr>
            </w:pPr>
          </w:p>
          <w:p w:rsidR="001012D1" w:rsidRDefault="00C35FFA" w:rsidP="001012D1">
            <w:pPr>
              <w:numPr>
                <w:ilvl w:val="0"/>
                <w:numId w:val="5"/>
              </w:numPr>
              <w:spacing w:after="200" w:line="276" w:lineRule="auto"/>
              <w:rPr>
                <w:rFonts w:eastAsia="Calibri" w:cstheme="minorHAnsi"/>
              </w:rPr>
            </w:pPr>
            <w:r>
              <w:rPr>
                <w:rFonts w:cstheme="minorHAnsi"/>
              </w:rPr>
              <w:t>Lead all Infrastructure activity across the Corporation, ensuring excellence and innovation in everything that we d</w:t>
            </w:r>
            <w:r w:rsidR="007E1BE1">
              <w:rPr>
                <w:rFonts w:cstheme="minorHAnsi"/>
              </w:rPr>
              <w:t xml:space="preserve">o, </w:t>
            </w:r>
            <w:r w:rsidR="007E1BE1">
              <w:rPr>
                <w:rFonts w:eastAsia="Calibri" w:cstheme="minorHAnsi"/>
              </w:rPr>
              <w:t>ensuring</w:t>
            </w:r>
            <w:r w:rsidR="001012D1">
              <w:rPr>
                <w:rFonts w:eastAsia="Calibri" w:cstheme="minorHAnsi"/>
              </w:rPr>
              <w:t xml:space="preserve"> buy-in and support from the GLA and wider stakeholders.</w:t>
            </w:r>
          </w:p>
          <w:p w:rsidR="00C35FFA" w:rsidRPr="00C35FFA" w:rsidRDefault="001012D1" w:rsidP="005060E7">
            <w:pPr>
              <w:rPr>
                <w:rFonts w:cstheme="minorHAnsi"/>
              </w:rPr>
            </w:pPr>
            <w:r w:rsidRPr="001012D1">
              <w:rPr>
                <w:rFonts w:cstheme="minorHAnsi"/>
              </w:rPr>
              <w:t xml:space="preserve"> </w:t>
            </w:r>
          </w:p>
          <w:p w:rsidR="00C35FFA" w:rsidRDefault="00C35FFA" w:rsidP="00C34A72">
            <w:pPr>
              <w:pStyle w:val="ListParagraph"/>
              <w:numPr>
                <w:ilvl w:val="0"/>
                <w:numId w:val="17"/>
              </w:numPr>
              <w:spacing w:after="0"/>
              <w:rPr>
                <w:rFonts w:ascii="Foundry Form Sans" w:eastAsia="Times New Roman" w:hAnsi="Foundry Form Sans" w:cstheme="minorHAnsi"/>
                <w:sz w:val="24"/>
                <w:szCs w:val="24"/>
              </w:rPr>
            </w:pPr>
            <w:r>
              <w:rPr>
                <w:rFonts w:ascii="Foundry Form Sans" w:eastAsia="Times New Roman" w:hAnsi="Foundry Form Sans" w:cstheme="minorHAnsi"/>
                <w:sz w:val="24"/>
                <w:szCs w:val="24"/>
              </w:rPr>
              <w:t>Lead the Programme and Project Management discipline across the Corporation ensuring best practice programme and project delivery in line with Government and Infrastructure and Project Authority (IPA) Best Practice.</w:t>
            </w:r>
          </w:p>
          <w:p w:rsidR="00C34A72" w:rsidRPr="002940B0" w:rsidRDefault="00C34A72" w:rsidP="002940B0">
            <w:pPr>
              <w:pStyle w:val="ListParagraph"/>
              <w:rPr>
                <w:rFonts w:ascii="Foundry Form Sans" w:eastAsia="Times New Roman" w:hAnsi="Foundry Form Sans" w:cstheme="minorHAnsi"/>
                <w:sz w:val="24"/>
                <w:szCs w:val="24"/>
              </w:rPr>
            </w:pPr>
          </w:p>
          <w:p w:rsidR="00A046E6" w:rsidRPr="00FB600D" w:rsidRDefault="00FF45B7" w:rsidP="00C34A72">
            <w:pPr>
              <w:numPr>
                <w:ilvl w:val="0"/>
                <w:numId w:val="17"/>
              </w:numPr>
            </w:pPr>
            <w:r>
              <w:rPr>
                <w:rFonts w:eastAsia="SimSun" w:cstheme="minorHAnsi"/>
                <w:lang w:eastAsia="zh-CN"/>
              </w:rPr>
              <w:t>As</w:t>
            </w:r>
            <w:r w:rsidR="00CE0957">
              <w:rPr>
                <w:rFonts w:eastAsia="SimSun" w:cstheme="minorHAnsi"/>
                <w:lang w:eastAsia="zh-CN"/>
              </w:rPr>
              <w:t xml:space="preserve"> member of the senior management team you will contribute fully to </w:t>
            </w:r>
            <w:r w:rsidR="00E76A9C">
              <w:rPr>
                <w:rFonts w:eastAsia="SimSun" w:cstheme="minorHAnsi"/>
                <w:lang w:eastAsia="zh-CN"/>
              </w:rPr>
              <w:t>the OPDC</w:t>
            </w:r>
            <w:r w:rsidR="00CE0957">
              <w:rPr>
                <w:rFonts w:eastAsia="SimSun" w:cstheme="minorHAnsi"/>
                <w:lang w:eastAsia="zh-CN"/>
              </w:rPr>
              <w:t xml:space="preserve"> overall business planning and programme management functions ensuring </w:t>
            </w:r>
            <w:r w:rsidR="00A046E6">
              <w:rPr>
                <w:rFonts w:eastAsia="SimSun" w:cstheme="minorHAnsi"/>
                <w:lang w:eastAsia="zh-CN"/>
              </w:rPr>
              <w:t>effective</w:t>
            </w:r>
            <w:r w:rsidR="00CE0957">
              <w:rPr>
                <w:rFonts w:eastAsia="SimSun" w:cstheme="minorHAnsi"/>
                <w:lang w:eastAsia="zh-CN"/>
              </w:rPr>
              <w:t xml:space="preserve"> delivery against targets and objectives.</w:t>
            </w:r>
          </w:p>
          <w:p w:rsidR="00C34A72" w:rsidRDefault="00C34A72" w:rsidP="002940B0"/>
          <w:p w:rsidR="008B2BD1" w:rsidRPr="00303B1C" w:rsidRDefault="008B2BD1" w:rsidP="002940B0"/>
        </w:tc>
      </w:tr>
      <w:tr w:rsidR="00303B1C" w:rsidRPr="00303B1C" w:rsidTr="00623911">
        <w:tblPrEx>
          <w:tblLook w:val="0000" w:firstRow="0" w:lastRow="0" w:firstColumn="0" w:lastColumn="0" w:noHBand="0" w:noVBand="0"/>
        </w:tblPrEx>
        <w:trPr>
          <w:trHeight w:val="570"/>
        </w:trPr>
        <w:tc>
          <w:tcPr>
            <w:tcW w:w="9242" w:type="dxa"/>
            <w:gridSpan w:val="5"/>
            <w:shd w:val="clear" w:color="auto" w:fill="D9D9D9" w:themeFill="background1" w:themeFillShade="D9"/>
            <w:vAlign w:val="center"/>
          </w:tcPr>
          <w:p w:rsidR="00303B1C" w:rsidRPr="00303B1C" w:rsidRDefault="00303B1C" w:rsidP="00623911">
            <w:r w:rsidRPr="00303B1C">
              <w:t xml:space="preserve">   </w:t>
            </w:r>
            <w:r w:rsidRPr="00303B1C">
              <w:rPr>
                <w:b/>
              </w:rPr>
              <w:t>Principal accountabilities</w:t>
            </w:r>
          </w:p>
        </w:tc>
      </w:tr>
      <w:tr w:rsidR="00303B1C" w:rsidRPr="00303B1C" w:rsidTr="00A52421">
        <w:tblPrEx>
          <w:tblLook w:val="0000" w:firstRow="0" w:lastRow="0" w:firstColumn="0" w:lastColumn="0" w:noHBand="0" w:noVBand="0"/>
        </w:tblPrEx>
        <w:trPr>
          <w:trHeight w:val="2402"/>
        </w:trPr>
        <w:tc>
          <w:tcPr>
            <w:tcW w:w="9242" w:type="dxa"/>
            <w:gridSpan w:val="5"/>
            <w:tcBorders>
              <w:bottom w:val="single" w:sz="4" w:space="0" w:color="auto"/>
            </w:tcBorders>
          </w:tcPr>
          <w:p w:rsidR="001A790A" w:rsidRDefault="001A790A" w:rsidP="00623911">
            <w:pPr>
              <w:ind w:left="720"/>
              <w:contextualSpacing/>
              <w:jc w:val="both"/>
              <w:rPr>
                <w:rFonts w:ascii="Arial" w:eastAsia="Calibri" w:hAnsi="Arial"/>
                <w:sz w:val="22"/>
                <w:szCs w:val="22"/>
              </w:rPr>
            </w:pPr>
          </w:p>
          <w:p w:rsidR="00846A63" w:rsidRDefault="00A65415" w:rsidP="005060E7">
            <w:pPr>
              <w:numPr>
                <w:ilvl w:val="0"/>
                <w:numId w:val="20"/>
              </w:numPr>
              <w:spacing w:after="200" w:line="276" w:lineRule="auto"/>
              <w:rPr>
                <w:rFonts w:eastAsia="Calibri" w:cstheme="minorHAnsi"/>
              </w:rPr>
            </w:pPr>
            <w:r>
              <w:rPr>
                <w:rFonts w:eastAsia="Calibri" w:cstheme="minorHAnsi"/>
              </w:rPr>
              <w:t xml:space="preserve">Lead </w:t>
            </w:r>
            <w:r w:rsidR="00A44BCE">
              <w:rPr>
                <w:rFonts w:eastAsia="Calibri" w:cstheme="minorHAnsi"/>
              </w:rPr>
              <w:t>the</w:t>
            </w:r>
            <w:r w:rsidR="00846A63" w:rsidRPr="00BE08C5">
              <w:rPr>
                <w:rFonts w:eastAsia="Calibri" w:cstheme="minorHAnsi"/>
              </w:rPr>
              <w:t xml:space="preserve"> delivery of major </w:t>
            </w:r>
            <w:r w:rsidR="00F411A9">
              <w:rPr>
                <w:rFonts w:eastAsia="Calibri" w:cstheme="minorHAnsi"/>
              </w:rPr>
              <w:t xml:space="preserve">programmes and </w:t>
            </w:r>
            <w:r w:rsidR="00846A63" w:rsidRPr="00BE08C5">
              <w:rPr>
                <w:rFonts w:eastAsia="Calibri" w:cstheme="minorHAnsi"/>
              </w:rPr>
              <w:t xml:space="preserve">projects, from </w:t>
            </w:r>
            <w:r w:rsidR="00E76A9C">
              <w:rPr>
                <w:rFonts w:eastAsia="Calibri" w:cstheme="minorHAnsi"/>
              </w:rPr>
              <w:t xml:space="preserve">strategy development, </w:t>
            </w:r>
            <w:r w:rsidR="00846A63" w:rsidRPr="00BE08C5">
              <w:rPr>
                <w:rFonts w:eastAsia="Calibri" w:cstheme="minorHAnsi"/>
              </w:rPr>
              <w:t xml:space="preserve">feasibility stage through to </w:t>
            </w:r>
            <w:r w:rsidR="00A44BCE">
              <w:rPr>
                <w:rFonts w:eastAsia="Calibri" w:cstheme="minorHAnsi"/>
              </w:rPr>
              <w:t>completion</w:t>
            </w:r>
            <w:r w:rsidR="00846A63" w:rsidRPr="00BE08C5">
              <w:rPr>
                <w:rFonts w:eastAsia="Calibri" w:cstheme="minorHAnsi"/>
              </w:rPr>
              <w:t xml:space="preserve"> to deliver viable, vibrant and sustainable mixed use districts</w:t>
            </w:r>
            <w:r w:rsidR="00846A63">
              <w:rPr>
                <w:rFonts w:eastAsia="Calibri" w:cstheme="minorHAnsi"/>
              </w:rPr>
              <w:t xml:space="preserve"> across the OPDC area in a way that integrates with existing communities</w:t>
            </w:r>
            <w:r w:rsidR="00846A63" w:rsidRPr="00BE08C5">
              <w:rPr>
                <w:rFonts w:eastAsia="Calibri" w:cstheme="minorHAnsi"/>
              </w:rPr>
              <w:t xml:space="preserve">. </w:t>
            </w:r>
          </w:p>
          <w:p w:rsidR="005060E7" w:rsidRDefault="00A800B9" w:rsidP="005060E7">
            <w:pPr>
              <w:numPr>
                <w:ilvl w:val="0"/>
                <w:numId w:val="20"/>
              </w:numPr>
              <w:spacing w:after="200" w:line="276" w:lineRule="auto"/>
              <w:rPr>
                <w:rFonts w:eastAsia="Calibri" w:cstheme="minorHAnsi"/>
              </w:rPr>
            </w:pPr>
            <w:r w:rsidRPr="005060E7">
              <w:rPr>
                <w:rFonts w:eastAsia="Calibri" w:cstheme="minorHAnsi"/>
              </w:rPr>
              <w:t>Lead the</w:t>
            </w:r>
            <w:r w:rsidR="001012D1" w:rsidRPr="005060E7">
              <w:rPr>
                <w:rFonts w:eastAsia="Calibri" w:cstheme="minorHAnsi"/>
              </w:rPr>
              <w:t xml:space="preserve"> financial control and governance of all programmes and the </w:t>
            </w:r>
            <w:r w:rsidRPr="005060E7">
              <w:rPr>
                <w:rFonts w:eastAsia="Calibri" w:cstheme="minorHAnsi"/>
              </w:rPr>
              <w:t>preparation and presentation of all necessary requests for authorisations including business cases, strategic papers, optioneering reports, expenditure and budget forecasts, resource forecast and funding requirements.</w:t>
            </w:r>
            <w:r w:rsidR="005060E7" w:rsidRPr="005060E7">
              <w:rPr>
                <w:rFonts w:eastAsia="Calibri" w:cstheme="minorHAnsi"/>
              </w:rPr>
              <w:t xml:space="preserve"> </w:t>
            </w:r>
          </w:p>
          <w:p w:rsidR="00A800B9" w:rsidRPr="005060E7" w:rsidRDefault="0071133A" w:rsidP="005060E7">
            <w:pPr>
              <w:numPr>
                <w:ilvl w:val="0"/>
                <w:numId w:val="20"/>
              </w:numPr>
              <w:spacing w:after="200" w:line="276" w:lineRule="auto"/>
              <w:rPr>
                <w:rFonts w:eastAsia="Calibri" w:cstheme="minorHAnsi"/>
              </w:rPr>
            </w:pPr>
            <w:r w:rsidRPr="005060E7">
              <w:rPr>
                <w:rFonts w:eastAsia="Calibri" w:cstheme="minorHAnsi"/>
              </w:rPr>
              <w:lastRenderedPageBreak/>
              <w:t>Lead</w:t>
            </w:r>
            <w:r w:rsidR="00A800B9" w:rsidRPr="005060E7">
              <w:rPr>
                <w:rFonts w:eastAsia="Calibri" w:cstheme="minorHAnsi"/>
              </w:rPr>
              <w:t xml:space="preserve"> the phasing for the delivery of all infrastructure, the activity schedules for the execution, budgets and resource plans to align with the delivery targets of the overall development programme, lia</w:t>
            </w:r>
            <w:r w:rsidR="00BD59C8" w:rsidRPr="005060E7">
              <w:rPr>
                <w:rFonts w:eastAsia="Calibri" w:cstheme="minorHAnsi"/>
              </w:rPr>
              <w:t>i</w:t>
            </w:r>
            <w:r w:rsidR="00A800B9" w:rsidRPr="005060E7">
              <w:rPr>
                <w:rFonts w:eastAsia="Calibri" w:cstheme="minorHAnsi"/>
              </w:rPr>
              <w:t xml:space="preserve">sing as appropriate with </w:t>
            </w:r>
            <w:r w:rsidR="00BD59C8" w:rsidRPr="005060E7">
              <w:rPr>
                <w:rFonts w:eastAsia="Calibri" w:cstheme="minorHAnsi"/>
              </w:rPr>
              <w:t>the Directors of Commercial, Planning and Finance.</w:t>
            </w:r>
          </w:p>
          <w:p w:rsidR="00795561" w:rsidRDefault="00795561" w:rsidP="005060E7">
            <w:pPr>
              <w:numPr>
                <w:ilvl w:val="0"/>
                <w:numId w:val="20"/>
              </w:numPr>
              <w:spacing w:after="200" w:line="276" w:lineRule="auto"/>
              <w:rPr>
                <w:rFonts w:eastAsia="Calibri" w:cstheme="minorHAnsi"/>
              </w:rPr>
            </w:pPr>
            <w:r>
              <w:rPr>
                <w:rFonts w:eastAsia="Calibri" w:cstheme="minorHAnsi"/>
              </w:rPr>
              <w:t>Liaise as appropriate with Statutory Undertakers, other infrastructure agencies and Government agencies to understand planned works and to gain alignment with OPDC delivery requirements.</w:t>
            </w:r>
          </w:p>
          <w:p w:rsidR="00795561" w:rsidRDefault="00A65415" w:rsidP="005060E7">
            <w:pPr>
              <w:numPr>
                <w:ilvl w:val="0"/>
                <w:numId w:val="20"/>
              </w:numPr>
              <w:spacing w:after="200" w:line="276" w:lineRule="auto"/>
              <w:rPr>
                <w:rFonts w:eastAsia="Calibri" w:cstheme="minorHAnsi"/>
              </w:rPr>
            </w:pPr>
            <w:r>
              <w:rPr>
                <w:rFonts w:eastAsia="Calibri" w:cstheme="minorHAnsi"/>
              </w:rPr>
              <w:t xml:space="preserve">Work closely with </w:t>
            </w:r>
            <w:r w:rsidR="00795561">
              <w:rPr>
                <w:rFonts w:eastAsia="Calibri" w:cstheme="minorHAnsi"/>
              </w:rPr>
              <w:t>Network Rail and other infrastructure asset owner</w:t>
            </w:r>
            <w:r w:rsidR="003D2C2C">
              <w:rPr>
                <w:rFonts w:eastAsia="Calibri" w:cstheme="minorHAnsi"/>
              </w:rPr>
              <w:t>s</w:t>
            </w:r>
            <w:r w:rsidR="00795561">
              <w:rPr>
                <w:rFonts w:eastAsia="Calibri" w:cstheme="minorHAnsi"/>
              </w:rPr>
              <w:t xml:space="preserve"> or operators to secure asset protection/possession agreements to facilitate the delivery of transport infrastructure.</w:t>
            </w:r>
          </w:p>
          <w:p w:rsidR="00FF45B7" w:rsidRDefault="00FF45B7" w:rsidP="005060E7">
            <w:pPr>
              <w:numPr>
                <w:ilvl w:val="0"/>
                <w:numId w:val="20"/>
              </w:numPr>
              <w:spacing w:after="200" w:line="276" w:lineRule="auto"/>
              <w:rPr>
                <w:rFonts w:eastAsia="Calibri" w:cstheme="minorHAnsi"/>
              </w:rPr>
            </w:pPr>
            <w:r>
              <w:rPr>
                <w:rFonts w:eastAsia="Calibri" w:cstheme="minorHAnsi"/>
              </w:rPr>
              <w:t>Lead engagement as appropriate with Statutory Undertakers, other infrastructure agencies and Government agencies to understand planned works and to gain alignment with OPDC delivery requirements.</w:t>
            </w:r>
          </w:p>
          <w:p w:rsidR="00FF45B7" w:rsidRDefault="00FF45B7" w:rsidP="005060E7">
            <w:pPr>
              <w:pStyle w:val="ListParagraph"/>
              <w:numPr>
                <w:ilvl w:val="0"/>
                <w:numId w:val="20"/>
              </w:numPr>
              <w:spacing w:after="0"/>
              <w:rPr>
                <w:rFonts w:ascii="Foundry Form Sans" w:eastAsia="Times New Roman" w:hAnsi="Foundry Form Sans" w:cstheme="minorHAnsi"/>
                <w:sz w:val="24"/>
                <w:szCs w:val="24"/>
              </w:rPr>
            </w:pPr>
            <w:r>
              <w:rPr>
                <w:rFonts w:ascii="Foundry Form Sans" w:eastAsia="Times New Roman" w:hAnsi="Foundry Form Sans" w:cstheme="minorHAnsi"/>
                <w:sz w:val="24"/>
                <w:szCs w:val="24"/>
              </w:rPr>
              <w:t>Ensure Infrastructure project investment is secured through the development of HMT Green Book compliant Business Cases.</w:t>
            </w:r>
          </w:p>
          <w:p w:rsidR="00FF45B7" w:rsidRPr="002940B0" w:rsidRDefault="00FF45B7" w:rsidP="00FF45B7">
            <w:pPr>
              <w:pStyle w:val="ListParagraph"/>
              <w:rPr>
                <w:rFonts w:ascii="Foundry Form Sans" w:eastAsia="Times New Roman" w:hAnsi="Foundry Form Sans" w:cstheme="minorHAnsi"/>
                <w:sz w:val="24"/>
                <w:szCs w:val="24"/>
              </w:rPr>
            </w:pPr>
          </w:p>
          <w:p w:rsidR="00FF45B7" w:rsidRPr="002940B0" w:rsidRDefault="00FF45B7" w:rsidP="005060E7">
            <w:pPr>
              <w:numPr>
                <w:ilvl w:val="0"/>
                <w:numId w:val="20"/>
              </w:numPr>
              <w:spacing w:after="200" w:line="276" w:lineRule="auto"/>
              <w:rPr>
                <w:rFonts w:eastAsia="Calibri" w:cstheme="minorHAnsi"/>
              </w:rPr>
            </w:pPr>
            <w:r>
              <w:rPr>
                <w:rFonts w:eastAsia="Calibri" w:cstheme="minorHAnsi"/>
              </w:rPr>
              <w:t xml:space="preserve">Lead </w:t>
            </w:r>
            <w:r w:rsidR="00CD586F">
              <w:rPr>
                <w:rFonts w:eastAsia="Calibri" w:cstheme="minorHAnsi"/>
              </w:rPr>
              <w:t xml:space="preserve">and define </w:t>
            </w:r>
            <w:r>
              <w:rPr>
                <w:rFonts w:eastAsia="Calibri" w:cstheme="minorHAnsi"/>
              </w:rPr>
              <w:t xml:space="preserve">the development of the procurement strategy and packaging strategies as required for infrastructure delivery, in accordance with OPDC procurement procedures. </w:t>
            </w:r>
          </w:p>
          <w:p w:rsidR="00795561" w:rsidRDefault="00795561" w:rsidP="005060E7">
            <w:pPr>
              <w:numPr>
                <w:ilvl w:val="0"/>
                <w:numId w:val="20"/>
              </w:numPr>
              <w:spacing w:after="200" w:line="276" w:lineRule="auto"/>
              <w:rPr>
                <w:rFonts w:eastAsia="Calibri" w:cstheme="minorHAnsi"/>
              </w:rPr>
            </w:pPr>
            <w:r>
              <w:rPr>
                <w:rFonts w:eastAsia="Calibri" w:cstheme="minorHAnsi"/>
              </w:rPr>
              <w:t xml:space="preserve"> </w:t>
            </w:r>
            <w:r w:rsidR="0051252C">
              <w:rPr>
                <w:rFonts w:eastAsia="Calibri" w:cstheme="minorHAnsi"/>
              </w:rPr>
              <w:t xml:space="preserve">Lead the engagement with </w:t>
            </w:r>
            <w:r>
              <w:rPr>
                <w:rFonts w:eastAsia="Calibri" w:cstheme="minorHAnsi"/>
              </w:rPr>
              <w:t>other Developers and partner agencies to understand and promote opportunities for joint procurement, cost sharing, rationalising of assets and optimise delivery.</w:t>
            </w:r>
          </w:p>
          <w:p w:rsidR="008A09D8" w:rsidRDefault="0071133A" w:rsidP="005060E7">
            <w:pPr>
              <w:numPr>
                <w:ilvl w:val="0"/>
                <w:numId w:val="20"/>
              </w:numPr>
              <w:spacing w:after="200" w:line="276" w:lineRule="auto"/>
              <w:rPr>
                <w:rFonts w:eastAsia="Calibri" w:cstheme="minorHAnsi"/>
              </w:rPr>
            </w:pPr>
            <w:r>
              <w:rPr>
                <w:rFonts w:eastAsia="Calibri" w:cstheme="minorHAnsi"/>
              </w:rPr>
              <w:t xml:space="preserve">Oversight of the evaluation of </w:t>
            </w:r>
            <w:r w:rsidR="008A09D8">
              <w:rPr>
                <w:rFonts w:eastAsia="Calibri" w:cstheme="minorHAnsi"/>
              </w:rPr>
              <w:t>tender submissions and lead assessments and recommendations for contract awards.</w:t>
            </w:r>
          </w:p>
          <w:p w:rsidR="00DC6473" w:rsidRDefault="00F411A9" w:rsidP="005060E7">
            <w:pPr>
              <w:numPr>
                <w:ilvl w:val="0"/>
                <w:numId w:val="20"/>
              </w:numPr>
              <w:spacing w:after="200" w:line="276" w:lineRule="auto"/>
              <w:rPr>
                <w:rFonts w:eastAsia="Calibri" w:cstheme="minorHAnsi"/>
              </w:rPr>
            </w:pPr>
            <w:r>
              <w:rPr>
                <w:rFonts w:eastAsia="Calibri" w:cstheme="minorHAnsi"/>
              </w:rPr>
              <w:t xml:space="preserve">Working collaboratively with </w:t>
            </w:r>
            <w:r w:rsidR="00A65415">
              <w:rPr>
                <w:rFonts w:eastAsia="Calibri" w:cstheme="minorHAnsi"/>
              </w:rPr>
              <w:t>the Senior Management Team</w:t>
            </w:r>
            <w:r>
              <w:rPr>
                <w:rFonts w:eastAsia="Calibri" w:cstheme="minorHAnsi"/>
              </w:rPr>
              <w:t>, l</w:t>
            </w:r>
            <w:r w:rsidR="00DC6473">
              <w:rPr>
                <w:rFonts w:eastAsia="Calibri" w:cstheme="minorHAnsi"/>
              </w:rPr>
              <w:t xml:space="preserve">ead the Social, Utility and Transport Infrastructure Programmes to ensure priority infrastructure is identified and progressed </w:t>
            </w:r>
            <w:proofErr w:type="gramStart"/>
            <w:r w:rsidR="00DC6473">
              <w:rPr>
                <w:rFonts w:eastAsia="Calibri" w:cstheme="minorHAnsi"/>
              </w:rPr>
              <w:t>in order to</w:t>
            </w:r>
            <w:proofErr w:type="gramEnd"/>
            <w:r w:rsidR="00DC6473">
              <w:rPr>
                <w:rFonts w:eastAsia="Calibri" w:cstheme="minorHAnsi"/>
              </w:rPr>
              <w:t xml:space="preserve"> unlock early development whilst maintaining the policy objectives and aspirations of the London and Local Plan</w:t>
            </w:r>
            <w:r w:rsidR="003D2C2C">
              <w:rPr>
                <w:rFonts w:eastAsia="Calibri" w:cstheme="minorHAnsi"/>
              </w:rPr>
              <w:t>s</w:t>
            </w:r>
            <w:r w:rsidR="00DC6473">
              <w:rPr>
                <w:rFonts w:eastAsia="Calibri" w:cstheme="minorHAnsi"/>
              </w:rPr>
              <w:t xml:space="preserve"> in terms of Sustainability, Environment</w:t>
            </w:r>
            <w:r w:rsidR="00C35FFA">
              <w:rPr>
                <w:rFonts w:eastAsia="Calibri" w:cstheme="minorHAnsi"/>
              </w:rPr>
              <w:t xml:space="preserve"> and air quality.</w:t>
            </w:r>
          </w:p>
          <w:p w:rsidR="00846A63" w:rsidRDefault="00846A63" w:rsidP="00623911">
            <w:pPr>
              <w:ind w:left="720"/>
              <w:rPr>
                <w:rFonts w:cstheme="minorHAnsi"/>
              </w:rPr>
            </w:pPr>
          </w:p>
          <w:p w:rsidR="00303B1C" w:rsidRPr="00237018" w:rsidRDefault="00846A63" w:rsidP="005060E7">
            <w:pPr>
              <w:numPr>
                <w:ilvl w:val="0"/>
                <w:numId w:val="20"/>
              </w:numPr>
              <w:rPr>
                <w:u w:val="single"/>
              </w:rPr>
            </w:pPr>
            <w:r w:rsidRPr="00BE08C5">
              <w:rPr>
                <w:rFonts w:cstheme="minorHAnsi"/>
              </w:rPr>
              <w:t>Translate high level strategy into practical detailed project and programme delivery mechanisms, defining and enabling the management of human, financial and material resources required to drive and deliver projects, ensuring high performance to agreed targets and milestones.</w:t>
            </w:r>
          </w:p>
          <w:p w:rsidR="00237018" w:rsidRPr="00EB364A" w:rsidRDefault="00237018" w:rsidP="00EB364A">
            <w:pPr>
              <w:ind w:left="720"/>
              <w:rPr>
                <w:rFonts w:cstheme="minorHAnsi"/>
              </w:rPr>
            </w:pPr>
          </w:p>
          <w:p w:rsidR="00FF45B7" w:rsidRDefault="00237018" w:rsidP="005060E7">
            <w:pPr>
              <w:numPr>
                <w:ilvl w:val="0"/>
                <w:numId w:val="20"/>
              </w:numPr>
              <w:rPr>
                <w:rFonts w:cstheme="minorHAnsi"/>
              </w:rPr>
            </w:pPr>
            <w:r w:rsidRPr="00FF45B7">
              <w:rPr>
                <w:rFonts w:cstheme="minorHAnsi"/>
              </w:rPr>
              <w:t>Lead the Masterplan project to ensure</w:t>
            </w:r>
            <w:r w:rsidR="00EB364A" w:rsidRPr="00FF45B7">
              <w:rPr>
                <w:rFonts w:cstheme="minorHAnsi"/>
              </w:rPr>
              <w:t xml:space="preserve"> the development of a blueprint that balances the competing objectives and challenges of the myriad of stakeholders affected or involved.</w:t>
            </w:r>
            <w:r w:rsidR="002940B0" w:rsidRPr="00FF45B7">
              <w:rPr>
                <w:rFonts w:cstheme="minorHAnsi"/>
              </w:rPr>
              <w:t xml:space="preserve"> </w:t>
            </w:r>
            <w:r w:rsidR="00FF45B7" w:rsidRPr="00FF45B7">
              <w:rPr>
                <w:rFonts w:cstheme="minorHAnsi"/>
              </w:rPr>
              <w:t xml:space="preserve">  </w:t>
            </w:r>
          </w:p>
          <w:p w:rsidR="00FF45B7" w:rsidRDefault="00FF45B7" w:rsidP="00FF45B7">
            <w:pPr>
              <w:pStyle w:val="ListParagraph"/>
              <w:rPr>
                <w:rFonts w:cstheme="minorHAnsi"/>
              </w:rPr>
            </w:pPr>
          </w:p>
          <w:p w:rsidR="00623911" w:rsidRPr="005060E7" w:rsidRDefault="0071133A" w:rsidP="005060E7">
            <w:pPr>
              <w:numPr>
                <w:ilvl w:val="0"/>
                <w:numId w:val="20"/>
              </w:numPr>
              <w:rPr>
                <w:u w:val="single"/>
              </w:rPr>
            </w:pPr>
            <w:r w:rsidRPr="00FF45B7">
              <w:rPr>
                <w:rFonts w:cstheme="minorHAnsi"/>
              </w:rPr>
              <w:lastRenderedPageBreak/>
              <w:t>Realise the benefits fo</w:t>
            </w:r>
            <w:r w:rsidR="002940B0" w:rsidRPr="00FF45B7">
              <w:rPr>
                <w:rFonts w:cstheme="minorHAnsi"/>
              </w:rPr>
              <w:t>r</w:t>
            </w:r>
            <w:r w:rsidRPr="00FF45B7">
              <w:rPr>
                <w:rFonts w:cstheme="minorHAnsi"/>
              </w:rPr>
              <w:t xml:space="preserve"> London’s diversity by promoting and enabling of </w:t>
            </w:r>
            <w:r w:rsidR="002940B0" w:rsidRPr="00FF45B7">
              <w:rPr>
                <w:rFonts w:cstheme="minorHAnsi"/>
              </w:rPr>
              <w:t>opportunities</w:t>
            </w:r>
            <w:r w:rsidRPr="00FF45B7">
              <w:rPr>
                <w:rFonts w:cstheme="minorHAnsi"/>
              </w:rPr>
              <w:t xml:space="preserve"> </w:t>
            </w:r>
            <w:r w:rsidR="002940B0" w:rsidRPr="005060E7">
              <w:rPr>
                <w:rFonts w:cstheme="minorHAnsi"/>
              </w:rPr>
              <w:t xml:space="preserve">and </w:t>
            </w:r>
            <w:r w:rsidRPr="005060E7">
              <w:rPr>
                <w:rFonts w:cstheme="minorHAnsi"/>
              </w:rPr>
              <w:t xml:space="preserve">promoting the diverse needs and aspirations of London’s communities. </w:t>
            </w:r>
            <w:r w:rsidR="00237018" w:rsidRPr="005060E7">
              <w:rPr>
                <w:rFonts w:cstheme="minorHAnsi"/>
              </w:rPr>
              <w:t xml:space="preserve">  </w:t>
            </w:r>
          </w:p>
        </w:tc>
      </w:tr>
      <w:tr w:rsidR="00303B1C" w:rsidRPr="00303B1C" w:rsidTr="00623911">
        <w:tblPrEx>
          <w:tblLook w:val="0000" w:firstRow="0" w:lastRow="0" w:firstColumn="0" w:lastColumn="0" w:noHBand="0" w:noVBand="0"/>
        </w:tblPrEx>
        <w:trPr>
          <w:trHeight w:val="553"/>
        </w:trPr>
        <w:tc>
          <w:tcPr>
            <w:tcW w:w="9242" w:type="dxa"/>
            <w:gridSpan w:val="5"/>
            <w:vAlign w:val="center"/>
          </w:tcPr>
          <w:p w:rsidR="00303B1C" w:rsidRPr="003E76F8" w:rsidRDefault="00303B1C" w:rsidP="00623911">
            <w:pPr>
              <w:rPr>
                <w:b/>
              </w:rPr>
            </w:pPr>
            <w:r w:rsidRPr="00303B1C">
              <w:rPr>
                <w:b/>
              </w:rPr>
              <w:lastRenderedPageBreak/>
              <w:t>Key contacts:</w:t>
            </w:r>
          </w:p>
        </w:tc>
      </w:tr>
      <w:tr w:rsidR="00303B1C" w:rsidRPr="00303B1C" w:rsidTr="00623911">
        <w:tblPrEx>
          <w:tblLook w:val="0000" w:firstRow="0" w:lastRow="0" w:firstColumn="0" w:lastColumn="0" w:noHBand="0" w:noVBand="0"/>
        </w:tblPrEx>
        <w:trPr>
          <w:trHeight w:val="562"/>
        </w:trPr>
        <w:tc>
          <w:tcPr>
            <w:tcW w:w="2067" w:type="dxa"/>
            <w:vAlign w:val="center"/>
          </w:tcPr>
          <w:p w:rsidR="00303B1C" w:rsidRPr="003E76F8" w:rsidRDefault="00303B1C" w:rsidP="00623911">
            <w:pPr>
              <w:rPr>
                <w:b/>
              </w:rPr>
            </w:pPr>
            <w:r w:rsidRPr="00303B1C">
              <w:rPr>
                <w:b/>
              </w:rPr>
              <w:t>Accountable to:</w:t>
            </w:r>
          </w:p>
        </w:tc>
        <w:tc>
          <w:tcPr>
            <w:tcW w:w="7175" w:type="dxa"/>
            <w:gridSpan w:val="4"/>
            <w:vAlign w:val="center"/>
          </w:tcPr>
          <w:p w:rsidR="00303B1C" w:rsidRPr="00303B1C" w:rsidRDefault="003F1B55" w:rsidP="00623911">
            <w:pPr>
              <w:spacing w:after="120"/>
            </w:pPr>
            <w:r>
              <w:t>C</w:t>
            </w:r>
            <w:r w:rsidR="00F64D81">
              <w:t xml:space="preserve">hief </w:t>
            </w:r>
            <w:r>
              <w:t>E</w:t>
            </w:r>
            <w:r w:rsidR="00F64D81">
              <w:t xml:space="preserve">xecutive </w:t>
            </w:r>
            <w:r>
              <w:t>O</w:t>
            </w:r>
            <w:r w:rsidR="00F64D81">
              <w:t>fficer</w:t>
            </w:r>
          </w:p>
        </w:tc>
      </w:tr>
      <w:tr w:rsidR="00303B1C" w:rsidRPr="00303B1C" w:rsidTr="00623911">
        <w:tblPrEx>
          <w:tblLook w:val="0000" w:firstRow="0" w:lastRow="0" w:firstColumn="0" w:lastColumn="0" w:noHBand="0" w:noVBand="0"/>
        </w:tblPrEx>
        <w:trPr>
          <w:trHeight w:val="543"/>
        </w:trPr>
        <w:tc>
          <w:tcPr>
            <w:tcW w:w="2067" w:type="dxa"/>
            <w:tcBorders>
              <w:bottom w:val="single" w:sz="4" w:space="0" w:color="auto"/>
            </w:tcBorders>
            <w:vAlign w:val="center"/>
          </w:tcPr>
          <w:p w:rsidR="00303B1C" w:rsidRPr="00303B1C" w:rsidRDefault="00303B1C" w:rsidP="00623911">
            <w:r w:rsidRPr="00303B1C">
              <w:rPr>
                <w:b/>
              </w:rPr>
              <w:t>Accountable for:</w:t>
            </w:r>
          </w:p>
        </w:tc>
        <w:tc>
          <w:tcPr>
            <w:tcW w:w="7175" w:type="dxa"/>
            <w:gridSpan w:val="4"/>
            <w:tcBorders>
              <w:bottom w:val="single" w:sz="4" w:space="0" w:color="auto"/>
            </w:tcBorders>
            <w:vAlign w:val="center"/>
          </w:tcPr>
          <w:p w:rsidR="00303B1C" w:rsidRPr="003F1B55" w:rsidRDefault="00FB600D" w:rsidP="00A74AD5">
            <w:r>
              <w:t xml:space="preserve">All staff </w:t>
            </w:r>
            <w:r w:rsidR="00A74AD5">
              <w:t>within the Directorate as well as all advisors and consultants appointed to support the Programmes and projects.</w:t>
            </w:r>
            <w:r w:rsidR="003F1B55" w:rsidRPr="003F1B55">
              <w:t xml:space="preserve">    </w:t>
            </w:r>
          </w:p>
        </w:tc>
      </w:tr>
      <w:tr w:rsidR="00303B1C" w:rsidRPr="00303B1C" w:rsidTr="00623911">
        <w:tblPrEx>
          <w:tblLook w:val="0000" w:firstRow="0" w:lastRow="0" w:firstColumn="0" w:lastColumn="0" w:noHBand="0" w:noVBand="0"/>
        </w:tblPrEx>
        <w:trPr>
          <w:trHeight w:val="520"/>
        </w:trPr>
        <w:tc>
          <w:tcPr>
            <w:tcW w:w="9242" w:type="dxa"/>
            <w:gridSpan w:val="5"/>
            <w:shd w:val="clear" w:color="auto" w:fill="D9D9D9" w:themeFill="background1" w:themeFillShade="D9"/>
            <w:vAlign w:val="center"/>
          </w:tcPr>
          <w:p w:rsidR="00303B1C" w:rsidRPr="00303B1C" w:rsidRDefault="00303B1C" w:rsidP="00623911">
            <w:pPr>
              <w:ind w:left="108"/>
              <w:rPr>
                <w:rFonts w:cs="Arial"/>
                <w:b/>
                <w:color w:val="000000" w:themeColor="text1"/>
                <w:u w:val="single"/>
              </w:rPr>
            </w:pPr>
            <w:r w:rsidRPr="00303B1C">
              <w:rPr>
                <w:rFonts w:cs="Arial"/>
                <w:b/>
                <w:color w:val="000000" w:themeColor="text1"/>
              </w:rPr>
              <w:t>Technical Requirements</w:t>
            </w:r>
          </w:p>
        </w:tc>
      </w:tr>
      <w:tr w:rsidR="00303B1C" w:rsidRPr="00303B1C" w:rsidTr="00623911">
        <w:tblPrEx>
          <w:tblLook w:val="0000" w:firstRow="0" w:lastRow="0" w:firstColumn="0" w:lastColumn="0" w:noHBand="0" w:noVBand="0"/>
        </w:tblPrEx>
        <w:trPr>
          <w:trHeight w:val="1365"/>
        </w:trPr>
        <w:tc>
          <w:tcPr>
            <w:tcW w:w="9242" w:type="dxa"/>
            <w:gridSpan w:val="5"/>
            <w:tcBorders>
              <w:bottom w:val="single" w:sz="4" w:space="0" w:color="auto"/>
            </w:tcBorders>
          </w:tcPr>
          <w:p w:rsidR="00303B1C" w:rsidRPr="00303B1C" w:rsidRDefault="00303B1C" w:rsidP="00623911">
            <w:pPr>
              <w:spacing w:after="40"/>
              <w:ind w:left="828" w:right="85"/>
              <w:jc w:val="both"/>
              <w:rPr>
                <w:rFonts w:cs="Arial"/>
                <w:color w:val="000000"/>
              </w:rPr>
            </w:pPr>
          </w:p>
          <w:p w:rsidR="003F1B55" w:rsidRDefault="003F1B55" w:rsidP="00623911">
            <w:pPr>
              <w:numPr>
                <w:ilvl w:val="0"/>
                <w:numId w:val="3"/>
              </w:numPr>
            </w:pPr>
            <w:r w:rsidRPr="00BE08C5">
              <w:t>Extensive experience at senior manager level within a complex political environment, leading and motivating teams</w:t>
            </w:r>
            <w:r w:rsidR="00B5666C">
              <w:t>.</w:t>
            </w:r>
          </w:p>
          <w:p w:rsidR="00B5666C" w:rsidRDefault="00B5666C" w:rsidP="00B5666C">
            <w:pPr>
              <w:ind w:left="720"/>
            </w:pPr>
          </w:p>
          <w:p w:rsidR="00B5666C" w:rsidRDefault="00B5666C" w:rsidP="00623911">
            <w:pPr>
              <w:numPr>
                <w:ilvl w:val="0"/>
                <w:numId w:val="3"/>
              </w:numPr>
            </w:pPr>
            <w:r>
              <w:t>Chartered Engineer, qualified to degree level or equivalent in an engineering subject (or related discipline e.g. Transport, Civil, Mechanical) with a record of continuing professional development.</w:t>
            </w:r>
          </w:p>
          <w:p w:rsidR="00B5666C" w:rsidRDefault="00B5666C" w:rsidP="00B5666C"/>
          <w:p w:rsidR="00B5666C" w:rsidRDefault="00B5666C" w:rsidP="00B5666C">
            <w:pPr>
              <w:numPr>
                <w:ilvl w:val="0"/>
                <w:numId w:val="3"/>
              </w:numPr>
              <w:rPr>
                <w:rFonts w:cstheme="minorHAnsi"/>
                <w:bCs/>
              </w:rPr>
            </w:pPr>
            <w:r w:rsidRPr="00BE08C5">
              <w:rPr>
                <w:rFonts w:cstheme="minorHAnsi"/>
                <w:bCs/>
              </w:rPr>
              <w:t xml:space="preserve">Postgraduate qualification in a relevant discipline, e.g. Project Management, professional membership of appropriate body, e.g. </w:t>
            </w:r>
            <w:r>
              <w:rPr>
                <w:rFonts w:cstheme="minorHAnsi"/>
                <w:bCs/>
              </w:rPr>
              <w:t>MICE, MAPM</w:t>
            </w:r>
            <w:r w:rsidRPr="00BE08C5">
              <w:rPr>
                <w:rFonts w:cstheme="minorHAnsi"/>
                <w:bCs/>
              </w:rPr>
              <w:t xml:space="preserve">, or equivalent by experience. </w:t>
            </w:r>
          </w:p>
          <w:p w:rsidR="00243D0C" w:rsidRPr="00BE08C5" w:rsidRDefault="00243D0C" w:rsidP="00243D0C">
            <w:pPr>
              <w:rPr>
                <w:rFonts w:cstheme="minorHAnsi"/>
                <w:bCs/>
              </w:rPr>
            </w:pPr>
          </w:p>
          <w:p w:rsidR="00B5666C" w:rsidRDefault="00B5666C" w:rsidP="00243D0C"/>
          <w:p w:rsidR="00B5666C" w:rsidRDefault="00B5666C" w:rsidP="00623911">
            <w:pPr>
              <w:numPr>
                <w:ilvl w:val="0"/>
                <w:numId w:val="3"/>
              </w:numPr>
            </w:pPr>
            <w:r>
              <w:t>Demonstrable experience of successfully managing infrastructure delivery on large scale programmes, including significant transport, utilities, social infrastructure experience.</w:t>
            </w:r>
          </w:p>
          <w:p w:rsidR="00243D0C" w:rsidRDefault="00243D0C" w:rsidP="00243D0C"/>
          <w:p w:rsidR="00B5666C" w:rsidRDefault="00B5666C" w:rsidP="00B5666C">
            <w:pPr>
              <w:numPr>
                <w:ilvl w:val="0"/>
                <w:numId w:val="3"/>
              </w:numPr>
            </w:pPr>
            <w:r>
              <w:t>Good understanding of the local, regional and national infrastructure policy context and legislative framework.</w:t>
            </w:r>
          </w:p>
          <w:p w:rsidR="003F1B55" w:rsidRDefault="003F1B55" w:rsidP="00623911">
            <w:pPr>
              <w:ind w:left="720"/>
              <w:contextualSpacing/>
              <w:jc w:val="both"/>
              <w:rPr>
                <w:rFonts w:cs="Arial"/>
                <w:color w:val="000000"/>
              </w:rPr>
            </w:pPr>
          </w:p>
          <w:p w:rsidR="003F1B55" w:rsidRPr="00303B1C" w:rsidRDefault="003F1B55" w:rsidP="00623911">
            <w:pPr>
              <w:ind w:left="720"/>
              <w:contextualSpacing/>
              <w:jc w:val="both"/>
              <w:rPr>
                <w:rFonts w:cs="Arial"/>
                <w:color w:val="000000"/>
              </w:rPr>
            </w:pPr>
          </w:p>
        </w:tc>
      </w:tr>
      <w:tr w:rsidR="003F1B55" w:rsidRPr="00303B1C" w:rsidTr="00623911">
        <w:tblPrEx>
          <w:tblLook w:val="0000" w:firstRow="0" w:lastRow="0" w:firstColumn="0" w:lastColumn="0" w:noHBand="0" w:noVBand="0"/>
        </w:tblPrEx>
        <w:trPr>
          <w:trHeight w:val="496"/>
        </w:trPr>
        <w:tc>
          <w:tcPr>
            <w:tcW w:w="9242" w:type="dxa"/>
            <w:gridSpan w:val="5"/>
            <w:tcBorders>
              <w:bottom w:val="single" w:sz="4" w:space="0" w:color="auto"/>
            </w:tcBorders>
            <w:shd w:val="clear" w:color="auto" w:fill="D9D9D9" w:themeFill="background1" w:themeFillShade="D9"/>
            <w:vAlign w:val="center"/>
          </w:tcPr>
          <w:p w:rsidR="003F1B55" w:rsidRPr="00303B1C" w:rsidRDefault="003F1B55" w:rsidP="00623911">
            <w:pPr>
              <w:rPr>
                <w:rFonts w:cs="Arial"/>
                <w:color w:val="000000"/>
              </w:rPr>
            </w:pPr>
            <w:r>
              <w:rPr>
                <w:b/>
              </w:rPr>
              <w:t>Skills and e</w:t>
            </w:r>
            <w:r w:rsidRPr="00A51950">
              <w:rPr>
                <w:b/>
              </w:rPr>
              <w:t>xperience</w:t>
            </w:r>
          </w:p>
        </w:tc>
      </w:tr>
      <w:tr w:rsidR="003F1B55" w:rsidRPr="00303B1C" w:rsidTr="00587AB8">
        <w:tblPrEx>
          <w:tblLook w:val="0000" w:firstRow="0" w:lastRow="0" w:firstColumn="0" w:lastColumn="0" w:noHBand="0" w:noVBand="0"/>
        </w:tblPrEx>
        <w:trPr>
          <w:trHeight w:val="1550"/>
        </w:trPr>
        <w:tc>
          <w:tcPr>
            <w:tcW w:w="9242" w:type="dxa"/>
            <w:gridSpan w:val="5"/>
            <w:tcBorders>
              <w:bottom w:val="single" w:sz="4" w:space="0" w:color="auto"/>
            </w:tcBorders>
          </w:tcPr>
          <w:p w:rsidR="003B45F1" w:rsidRPr="00CA04C2" w:rsidRDefault="003B45F1" w:rsidP="003B45F1">
            <w:pPr>
              <w:rPr>
                <w:rFonts w:cstheme="minorHAnsi"/>
                <w:bCs/>
                <w:strike/>
              </w:rPr>
            </w:pPr>
          </w:p>
          <w:p w:rsidR="00B5666C" w:rsidRPr="00243D0C" w:rsidRDefault="003B45F1" w:rsidP="00243D0C">
            <w:pPr>
              <w:numPr>
                <w:ilvl w:val="0"/>
                <w:numId w:val="3"/>
              </w:numPr>
              <w:rPr>
                <w:rFonts w:cstheme="minorHAnsi"/>
                <w:bCs/>
              </w:rPr>
            </w:pPr>
            <w:r>
              <w:rPr>
                <w:rFonts w:cstheme="minorHAnsi"/>
                <w:bCs/>
              </w:rPr>
              <w:t>Experience of working on the client</w:t>
            </w:r>
            <w:r w:rsidR="00647E75">
              <w:rPr>
                <w:rFonts w:cstheme="minorHAnsi"/>
                <w:bCs/>
              </w:rPr>
              <w:t>-</w:t>
            </w:r>
            <w:r>
              <w:rPr>
                <w:rFonts w:cstheme="minorHAnsi"/>
                <w:bCs/>
              </w:rPr>
              <w:t>side sponsoring and procuring solutions to meet business objectives</w:t>
            </w:r>
            <w:r w:rsidR="002039BA">
              <w:rPr>
                <w:rFonts w:cstheme="minorHAnsi"/>
                <w:bCs/>
              </w:rPr>
              <w:t>.</w:t>
            </w:r>
          </w:p>
          <w:p w:rsidR="003B45F1" w:rsidRPr="003B45F1" w:rsidRDefault="003B45F1" w:rsidP="003B45F1">
            <w:pPr>
              <w:ind w:left="360"/>
              <w:rPr>
                <w:rFonts w:cstheme="minorHAnsi"/>
                <w:bCs/>
              </w:rPr>
            </w:pPr>
          </w:p>
          <w:p w:rsidR="005060E7" w:rsidRDefault="003B45F1" w:rsidP="00243D0C">
            <w:pPr>
              <w:numPr>
                <w:ilvl w:val="0"/>
                <w:numId w:val="3"/>
              </w:numPr>
              <w:rPr>
                <w:rFonts w:cstheme="minorHAnsi"/>
                <w:bCs/>
              </w:rPr>
            </w:pPr>
            <w:r w:rsidRPr="005060E7">
              <w:rPr>
                <w:rFonts w:cstheme="minorHAnsi"/>
                <w:bCs/>
              </w:rPr>
              <w:t>Demonstrable experience and knowledge of Government best practice in terms of projects and programme governance, development, delivery, business case development, assurance and risk management</w:t>
            </w:r>
            <w:r w:rsidR="002039BA">
              <w:rPr>
                <w:rFonts w:cstheme="minorHAnsi"/>
                <w:bCs/>
              </w:rPr>
              <w:t>.</w:t>
            </w:r>
          </w:p>
          <w:p w:rsidR="005060E7" w:rsidRDefault="005060E7" w:rsidP="005060E7">
            <w:pPr>
              <w:pStyle w:val="ListParagraph"/>
              <w:rPr>
                <w:rFonts w:cstheme="minorHAnsi"/>
                <w:bCs/>
              </w:rPr>
            </w:pPr>
          </w:p>
          <w:p w:rsidR="005060E7" w:rsidRPr="005060E7" w:rsidRDefault="005060E7" w:rsidP="005060E7">
            <w:pPr>
              <w:rPr>
                <w:rFonts w:cstheme="minorHAnsi"/>
                <w:bCs/>
              </w:rPr>
            </w:pPr>
          </w:p>
          <w:p w:rsidR="00E970DA" w:rsidRPr="00BE08C5" w:rsidRDefault="00E970DA" w:rsidP="00E970DA">
            <w:pPr>
              <w:numPr>
                <w:ilvl w:val="0"/>
                <w:numId w:val="3"/>
              </w:numPr>
            </w:pPr>
            <w:r w:rsidRPr="00BE08C5">
              <w:lastRenderedPageBreak/>
              <w:t xml:space="preserve">Experience of negotiating with government departments/agencies and </w:t>
            </w:r>
            <w:r w:rsidR="00F64D81" w:rsidRPr="00BE08C5">
              <w:t>securing successful</w:t>
            </w:r>
            <w:r w:rsidRPr="00BE08C5">
              <w:t xml:space="preserve"> outcomes</w:t>
            </w:r>
            <w:r w:rsidR="002039BA">
              <w:t>.</w:t>
            </w:r>
            <w:bookmarkStart w:id="0" w:name="_GoBack"/>
            <w:bookmarkEnd w:id="0"/>
          </w:p>
          <w:p w:rsidR="00E970DA" w:rsidRPr="00243D0C" w:rsidRDefault="00E970DA" w:rsidP="002940B0">
            <w:pPr>
              <w:ind w:left="360"/>
              <w:rPr>
                <w:rFonts w:cstheme="minorHAnsi"/>
                <w:bCs/>
              </w:rPr>
            </w:pPr>
          </w:p>
          <w:p w:rsidR="00587AB8" w:rsidRPr="00303B1C" w:rsidRDefault="00587AB8" w:rsidP="00243D0C">
            <w:pPr>
              <w:ind w:left="720"/>
              <w:rPr>
                <w:rFonts w:cs="Arial"/>
                <w:color w:val="000000"/>
              </w:rPr>
            </w:pPr>
          </w:p>
        </w:tc>
      </w:tr>
      <w:tr w:rsidR="00303B1C" w:rsidRPr="00303B1C" w:rsidTr="00623911">
        <w:tblPrEx>
          <w:tblLook w:val="0000" w:firstRow="0" w:lastRow="0" w:firstColumn="0" w:lastColumn="0" w:noHBand="0" w:noVBand="0"/>
        </w:tblPrEx>
        <w:trPr>
          <w:trHeight w:val="510"/>
        </w:trPr>
        <w:tc>
          <w:tcPr>
            <w:tcW w:w="9242" w:type="dxa"/>
            <w:gridSpan w:val="5"/>
            <w:shd w:val="clear" w:color="auto" w:fill="D9D9D9" w:themeFill="background1" w:themeFillShade="D9"/>
            <w:vAlign w:val="center"/>
          </w:tcPr>
          <w:p w:rsidR="00303B1C" w:rsidRPr="00303B1C" w:rsidRDefault="00303B1C" w:rsidP="00623911">
            <w:pPr>
              <w:ind w:left="108"/>
              <w:rPr>
                <w:rFonts w:cs="Arial"/>
                <w:color w:val="000000"/>
              </w:rPr>
            </w:pPr>
            <w:r w:rsidRPr="00303B1C">
              <w:rPr>
                <w:rFonts w:cs="Arial"/>
                <w:b/>
                <w:color w:val="000000" w:themeColor="text1"/>
              </w:rPr>
              <w:lastRenderedPageBreak/>
              <w:t>Behavioural Competencies</w:t>
            </w:r>
          </w:p>
        </w:tc>
      </w:tr>
      <w:tr w:rsidR="00303B1C" w:rsidRPr="00303B1C" w:rsidTr="00623911">
        <w:tblPrEx>
          <w:tblLook w:val="0000" w:firstRow="0" w:lastRow="0" w:firstColumn="0" w:lastColumn="0" w:noHBand="0" w:noVBand="0"/>
        </w:tblPrEx>
        <w:trPr>
          <w:trHeight w:val="3913"/>
        </w:trPr>
        <w:tc>
          <w:tcPr>
            <w:tcW w:w="9242" w:type="dxa"/>
            <w:gridSpan w:val="5"/>
          </w:tcPr>
          <w:p w:rsidR="00755AAA" w:rsidRDefault="00755AAA" w:rsidP="00623911">
            <w:pPr>
              <w:keepNext/>
              <w:outlineLvl w:val="0"/>
              <w:rPr>
                <w:b/>
                <w:bCs/>
                <w:u w:val="single"/>
              </w:rPr>
            </w:pPr>
          </w:p>
          <w:p w:rsidR="00587AB8" w:rsidRDefault="00587AB8" w:rsidP="00623911">
            <w:pPr>
              <w:keepNext/>
              <w:outlineLvl w:val="0"/>
              <w:rPr>
                <w:b/>
                <w:bCs/>
                <w:u w:val="single"/>
              </w:rPr>
            </w:pPr>
          </w:p>
          <w:p w:rsidR="003F1B55" w:rsidRPr="00FD3C1D" w:rsidRDefault="00755AAA" w:rsidP="00623911">
            <w:pPr>
              <w:keepNext/>
              <w:outlineLvl w:val="0"/>
              <w:rPr>
                <w:b/>
                <w:bCs/>
                <w:u w:val="single"/>
              </w:rPr>
            </w:pPr>
            <w:r>
              <w:rPr>
                <w:b/>
                <w:bCs/>
                <w:u w:val="single"/>
              </w:rPr>
              <w:t>B</w:t>
            </w:r>
            <w:r w:rsidR="003F1B55" w:rsidRPr="00FD3C1D">
              <w:rPr>
                <w:b/>
                <w:bCs/>
                <w:u w:val="single"/>
              </w:rPr>
              <w:t>uilding and managing relationships</w:t>
            </w:r>
          </w:p>
          <w:p w:rsidR="003F1B55" w:rsidRPr="00BE08C5" w:rsidRDefault="003F1B55" w:rsidP="00623911">
            <w:r w:rsidRPr="00BE08C5">
              <w:t>…is developing rapport and working effectively with a diverse range of people, sharing knowledge and skills to deliver shared goals.</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behaviour</w:t>
            </w:r>
          </w:p>
          <w:p w:rsidR="003F1B55" w:rsidRPr="00BE08C5" w:rsidRDefault="003F1B55" w:rsidP="00623911">
            <w:pPr>
              <w:numPr>
                <w:ilvl w:val="0"/>
                <w:numId w:val="9"/>
              </w:numPr>
            </w:pPr>
            <w:r w:rsidRPr="00BE08C5">
              <w:t>Identifies and engages a diverse range of influential contacts within stakeholder and community groups, and partner organisations</w:t>
            </w:r>
          </w:p>
          <w:p w:rsidR="003F1B55" w:rsidRPr="00BE08C5" w:rsidRDefault="003F1B55" w:rsidP="00623911">
            <w:pPr>
              <w:numPr>
                <w:ilvl w:val="0"/>
                <w:numId w:val="9"/>
              </w:numPr>
            </w:pPr>
            <w:r w:rsidRPr="00BE08C5">
              <w:t>Builds alliances to establish mutually beneficial working arrangements, openly sharing knowledge and insights</w:t>
            </w:r>
          </w:p>
          <w:p w:rsidR="003F1B55" w:rsidRPr="00BE08C5" w:rsidRDefault="003F1B55" w:rsidP="00623911">
            <w:pPr>
              <w:numPr>
                <w:ilvl w:val="0"/>
                <w:numId w:val="9"/>
              </w:numPr>
            </w:pPr>
            <w:r w:rsidRPr="00BE08C5">
              <w:t>Actively challenges and addresses ‘silo attitudes’ to encourage effective relationship building inside and outside the OPDC</w:t>
            </w:r>
          </w:p>
          <w:p w:rsidR="003F1B55" w:rsidRPr="00BE08C5" w:rsidRDefault="003F1B55" w:rsidP="00623911">
            <w:pPr>
              <w:numPr>
                <w:ilvl w:val="0"/>
                <w:numId w:val="9"/>
              </w:numPr>
            </w:pPr>
            <w:r w:rsidRPr="00BE08C5">
              <w:t>Understands the complexities of political dynamics and uses this to manage relationships and resolve conflict effectively</w:t>
            </w:r>
          </w:p>
          <w:p w:rsidR="003F1B55" w:rsidRPr="00BE08C5" w:rsidRDefault="003F1B55" w:rsidP="00623911">
            <w:pPr>
              <w:numPr>
                <w:ilvl w:val="0"/>
                <w:numId w:val="9"/>
              </w:numPr>
            </w:pPr>
            <w:r w:rsidRPr="00BE08C5">
              <w:t>Identifies clear win-win situations with external partners.</w:t>
            </w:r>
          </w:p>
          <w:p w:rsidR="00587AB8" w:rsidRDefault="00587AB8" w:rsidP="00623911">
            <w:pPr>
              <w:keepNext/>
              <w:outlineLvl w:val="0"/>
              <w:rPr>
                <w:b/>
                <w:bCs/>
                <w:u w:val="single"/>
              </w:rPr>
            </w:pPr>
          </w:p>
          <w:p w:rsidR="003F1B55" w:rsidRPr="00FD3C1D" w:rsidRDefault="003F1B55" w:rsidP="00623911">
            <w:pPr>
              <w:keepNext/>
              <w:outlineLvl w:val="0"/>
              <w:rPr>
                <w:b/>
                <w:bCs/>
                <w:u w:val="single"/>
              </w:rPr>
            </w:pPr>
            <w:r w:rsidRPr="00FD3C1D">
              <w:rPr>
                <w:b/>
                <w:bCs/>
                <w:u w:val="single"/>
              </w:rPr>
              <w:t>Stakeholder focus</w:t>
            </w:r>
          </w:p>
          <w:p w:rsidR="003F1B55" w:rsidRPr="00BE08C5" w:rsidRDefault="003F1B55" w:rsidP="00623911">
            <w:r w:rsidRPr="00BE08C5">
              <w:t>…is consulting with, listening to and understanding the needs of those our work impacts and using this knowledge to shape what we do and manage others’ expectations</w:t>
            </w:r>
            <w:r>
              <w:t>.</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performance</w:t>
            </w:r>
          </w:p>
          <w:p w:rsidR="003F1B55" w:rsidRPr="00BE08C5" w:rsidRDefault="003F1B55" w:rsidP="00623911">
            <w:pPr>
              <w:numPr>
                <w:ilvl w:val="0"/>
                <w:numId w:val="10"/>
              </w:numPr>
            </w:pPr>
            <w:r w:rsidRPr="00BE08C5">
              <w:t>Adapts objectives and the OPDC’s public facing position based on the context behind stakeholder needs and requests.</w:t>
            </w:r>
          </w:p>
          <w:p w:rsidR="003F1B55" w:rsidRPr="00BE08C5" w:rsidRDefault="003F1B55" w:rsidP="00623911">
            <w:pPr>
              <w:numPr>
                <w:ilvl w:val="0"/>
                <w:numId w:val="10"/>
              </w:numPr>
            </w:pPr>
            <w:r w:rsidRPr="00BE08C5">
              <w:t>Builds the OPDC’s reputation as an organisation committed to meeting the needs of Londoners</w:t>
            </w:r>
          </w:p>
          <w:p w:rsidR="003F1B55" w:rsidRPr="00BE08C5" w:rsidRDefault="003F1B55" w:rsidP="00623911">
            <w:pPr>
              <w:numPr>
                <w:ilvl w:val="0"/>
                <w:numId w:val="10"/>
              </w:numPr>
            </w:pPr>
            <w:r w:rsidRPr="00BE08C5">
              <w:t>Manages partner organisations’ and Londoners’ expectations of the OPDC by anticipating and influencing changing priorities</w:t>
            </w:r>
          </w:p>
          <w:p w:rsidR="003F1B55" w:rsidRPr="00BE08C5" w:rsidRDefault="003F1B55" w:rsidP="00623911">
            <w:pPr>
              <w:numPr>
                <w:ilvl w:val="0"/>
                <w:numId w:val="10"/>
              </w:numPr>
            </w:pPr>
            <w:r w:rsidRPr="00BE08C5">
              <w:t>Instils a culture that encourages OPDC staff to think about meeting Londoners’ needs first</w:t>
            </w:r>
          </w:p>
          <w:p w:rsidR="003F1B55" w:rsidRPr="00BE08C5" w:rsidRDefault="003F1B55" w:rsidP="00623911">
            <w:pPr>
              <w:numPr>
                <w:ilvl w:val="0"/>
                <w:numId w:val="10"/>
              </w:numPr>
            </w:pPr>
            <w:r w:rsidRPr="00BE08C5">
              <w:t>Builds the confidence of staff, partner organisations and Londoners by ensuring the OPDC delivers quality work</w:t>
            </w:r>
          </w:p>
          <w:p w:rsidR="00587AB8" w:rsidRDefault="00587AB8" w:rsidP="00623911">
            <w:pPr>
              <w:keepNext/>
              <w:outlineLvl w:val="0"/>
              <w:rPr>
                <w:b/>
                <w:bCs/>
                <w:u w:val="single"/>
              </w:rPr>
            </w:pPr>
          </w:p>
          <w:p w:rsidR="002940B0" w:rsidRDefault="002940B0" w:rsidP="00623911">
            <w:pPr>
              <w:keepNext/>
              <w:outlineLvl w:val="0"/>
              <w:rPr>
                <w:b/>
                <w:bCs/>
                <w:u w:val="single"/>
              </w:rPr>
            </w:pPr>
          </w:p>
          <w:p w:rsidR="003F1B55" w:rsidRPr="00FD3C1D" w:rsidRDefault="003F1B55" w:rsidP="00623911">
            <w:pPr>
              <w:keepNext/>
              <w:outlineLvl w:val="0"/>
              <w:rPr>
                <w:b/>
                <w:bCs/>
                <w:u w:val="single"/>
              </w:rPr>
            </w:pPr>
            <w:r w:rsidRPr="00FD3C1D">
              <w:rPr>
                <w:b/>
                <w:bCs/>
                <w:u w:val="single"/>
              </w:rPr>
              <w:t>Strategic thinking</w:t>
            </w:r>
          </w:p>
          <w:p w:rsidR="003F1B55" w:rsidRPr="00BE08C5" w:rsidRDefault="003F1B55" w:rsidP="00623911">
            <w:r w:rsidRPr="00BE08C5">
              <w:t>…is using an understanding of the bigger picture to uncover potential challenges and opportunities for the long term and turning those into a compelling vision for action</w:t>
            </w:r>
            <w:r>
              <w:t>.</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performance</w:t>
            </w:r>
          </w:p>
          <w:p w:rsidR="003F1B55" w:rsidRPr="00BE08C5" w:rsidRDefault="003F1B55" w:rsidP="00623911">
            <w:pPr>
              <w:numPr>
                <w:ilvl w:val="0"/>
                <w:numId w:val="11"/>
              </w:numPr>
            </w:pPr>
            <w:r w:rsidRPr="00BE08C5">
              <w:t>Develops a positive and compelling vision of London’s future potential, demonstrating confidence in the strategic direction of the OPDC</w:t>
            </w:r>
          </w:p>
          <w:p w:rsidR="003F1B55" w:rsidRPr="00BE08C5" w:rsidRDefault="003F1B55" w:rsidP="00623911">
            <w:pPr>
              <w:numPr>
                <w:ilvl w:val="0"/>
                <w:numId w:val="11"/>
              </w:numPr>
            </w:pPr>
            <w:r w:rsidRPr="00BE08C5">
              <w:lastRenderedPageBreak/>
              <w:t>Translates an understanding of the complex and diverse threats and issues facing London into positive action</w:t>
            </w:r>
          </w:p>
          <w:p w:rsidR="003F1B55" w:rsidRPr="00BE08C5" w:rsidRDefault="003F1B55" w:rsidP="00623911">
            <w:pPr>
              <w:numPr>
                <w:ilvl w:val="0"/>
                <w:numId w:val="11"/>
              </w:numPr>
            </w:pPr>
            <w:r w:rsidRPr="00BE08C5">
              <w:t>Proactively involves partners in strategic thinking, incorporating their views into plans and working with them to align strategic priorities</w:t>
            </w:r>
          </w:p>
          <w:p w:rsidR="003F1B55" w:rsidRPr="00BE08C5" w:rsidRDefault="003F1B55" w:rsidP="00623911">
            <w:pPr>
              <w:numPr>
                <w:ilvl w:val="0"/>
                <w:numId w:val="11"/>
              </w:numPr>
            </w:pPr>
            <w:r w:rsidRPr="00BE08C5">
              <w:t>Sets organisational priorities by identifying where time and investment is needed most</w:t>
            </w:r>
          </w:p>
          <w:p w:rsidR="003F1B55" w:rsidRPr="00BE08C5" w:rsidRDefault="003F1B55" w:rsidP="00623911">
            <w:pPr>
              <w:numPr>
                <w:ilvl w:val="0"/>
                <w:numId w:val="11"/>
              </w:numPr>
            </w:pPr>
            <w:r w:rsidRPr="00BE08C5">
              <w:t>Generates and leads strategic initiatives that reflect the OPDCs position as a regional authority</w:t>
            </w:r>
          </w:p>
          <w:p w:rsidR="003F1B55" w:rsidRPr="00BE08C5" w:rsidRDefault="003F1B55" w:rsidP="00623911"/>
          <w:p w:rsidR="00755AAA" w:rsidRDefault="00755AAA" w:rsidP="00623911">
            <w:pPr>
              <w:keepNext/>
              <w:outlineLvl w:val="0"/>
              <w:rPr>
                <w:b/>
                <w:bCs/>
                <w:u w:val="single"/>
              </w:rPr>
            </w:pPr>
          </w:p>
          <w:p w:rsidR="003F1B55" w:rsidRPr="00FD3C1D" w:rsidRDefault="003F1B55" w:rsidP="00623911">
            <w:pPr>
              <w:keepNext/>
              <w:outlineLvl w:val="0"/>
              <w:rPr>
                <w:b/>
                <w:bCs/>
                <w:u w:val="single"/>
              </w:rPr>
            </w:pPr>
            <w:r w:rsidRPr="00FD3C1D">
              <w:rPr>
                <w:b/>
                <w:bCs/>
                <w:u w:val="single"/>
              </w:rPr>
              <w:t>Managing and developing performance</w:t>
            </w:r>
          </w:p>
          <w:p w:rsidR="003F1B55" w:rsidRPr="00BE08C5" w:rsidRDefault="003F1B55" w:rsidP="00623911">
            <w:r w:rsidRPr="00BE08C5">
              <w:t>…is setting high standards for oneself and others, guiding, motivating and developing them, to achieve high performance and meet the OPDC’s objectives and statutory obligations</w:t>
            </w:r>
            <w:r>
              <w:t>.</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performance</w:t>
            </w:r>
          </w:p>
          <w:p w:rsidR="003F1B55" w:rsidRPr="00BE08C5" w:rsidRDefault="003F1B55" w:rsidP="00623911">
            <w:pPr>
              <w:numPr>
                <w:ilvl w:val="0"/>
                <w:numId w:val="12"/>
              </w:numPr>
            </w:pPr>
            <w:r w:rsidRPr="00BE08C5">
              <w:t>Creates an organisation that learns from experience</w:t>
            </w:r>
          </w:p>
          <w:p w:rsidR="003F1B55" w:rsidRPr="00BE08C5" w:rsidRDefault="003F1B55" w:rsidP="00623911">
            <w:pPr>
              <w:numPr>
                <w:ilvl w:val="0"/>
                <w:numId w:val="12"/>
              </w:numPr>
            </w:pPr>
            <w:r w:rsidRPr="00BE08C5">
              <w:t>Sets clear organisational objectives, cascading challenging yet achievable deliverables to directorates</w:t>
            </w:r>
          </w:p>
          <w:p w:rsidR="003F1B55" w:rsidRPr="00BE08C5" w:rsidRDefault="003F1B55" w:rsidP="00623911">
            <w:pPr>
              <w:numPr>
                <w:ilvl w:val="0"/>
                <w:numId w:val="12"/>
              </w:numPr>
            </w:pPr>
            <w:r w:rsidRPr="00BE08C5">
              <w:t>Identifies strategic level performance indicators and communicates these clearly</w:t>
            </w:r>
          </w:p>
          <w:p w:rsidR="003F1B55" w:rsidRPr="00BE08C5" w:rsidRDefault="003F1B55" w:rsidP="00623911">
            <w:pPr>
              <w:numPr>
                <w:ilvl w:val="0"/>
                <w:numId w:val="12"/>
              </w:numPr>
            </w:pPr>
            <w:r w:rsidRPr="00BE08C5">
              <w:t>Leads and sets an example for desired behaviour and performance for OPDC staff</w:t>
            </w:r>
          </w:p>
          <w:p w:rsidR="003F1B55" w:rsidRPr="00BE08C5" w:rsidRDefault="003F1B55" w:rsidP="00623911">
            <w:pPr>
              <w:numPr>
                <w:ilvl w:val="0"/>
                <w:numId w:val="12"/>
              </w:numPr>
            </w:pPr>
            <w:r w:rsidRPr="00BE08C5">
              <w:t>Instils a culture of high performance and outstanding results where staff are encouraged to perform to their best</w:t>
            </w:r>
          </w:p>
          <w:p w:rsidR="00FD3C1D" w:rsidRDefault="00FD3C1D" w:rsidP="00623911">
            <w:pPr>
              <w:keepNext/>
              <w:outlineLvl w:val="0"/>
              <w:rPr>
                <w:b/>
                <w:bCs/>
              </w:rPr>
            </w:pPr>
          </w:p>
          <w:p w:rsidR="003F1B55" w:rsidRPr="00FD3C1D" w:rsidRDefault="003F1B55" w:rsidP="00623911">
            <w:pPr>
              <w:keepNext/>
              <w:outlineLvl w:val="0"/>
              <w:rPr>
                <w:b/>
                <w:bCs/>
                <w:u w:val="single"/>
              </w:rPr>
            </w:pPr>
            <w:r w:rsidRPr="00FD3C1D">
              <w:rPr>
                <w:b/>
                <w:bCs/>
                <w:u w:val="single"/>
              </w:rPr>
              <w:t>Decision making</w:t>
            </w:r>
          </w:p>
          <w:p w:rsidR="003F1B55" w:rsidRPr="00BE08C5" w:rsidRDefault="003F1B55" w:rsidP="00623911">
            <w:r w:rsidRPr="00BE08C5">
              <w:t>…is forming sound, evidence-based judgements, making choices, assessing risks to delivery, and taking accountability for results</w:t>
            </w:r>
            <w:r>
              <w:t>.</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performance</w:t>
            </w:r>
          </w:p>
          <w:p w:rsidR="003F1B55" w:rsidRPr="00BE08C5" w:rsidRDefault="003F1B55" w:rsidP="00623911">
            <w:pPr>
              <w:numPr>
                <w:ilvl w:val="0"/>
                <w:numId w:val="13"/>
              </w:numPr>
            </w:pPr>
            <w:r w:rsidRPr="00BE08C5">
              <w:t>Makes difficult decisions for the long-term benefit of the organisation</w:t>
            </w:r>
          </w:p>
          <w:p w:rsidR="003F1B55" w:rsidRPr="00BE08C5" w:rsidRDefault="003F1B55" w:rsidP="00623911">
            <w:pPr>
              <w:numPr>
                <w:ilvl w:val="0"/>
                <w:numId w:val="13"/>
              </w:numPr>
            </w:pPr>
            <w:r w:rsidRPr="00BE08C5">
              <w:t>Presents and instils confidence in strategic decision-making</w:t>
            </w:r>
          </w:p>
          <w:p w:rsidR="003F1B55" w:rsidRPr="00BE08C5" w:rsidRDefault="003F1B55" w:rsidP="00623911">
            <w:pPr>
              <w:numPr>
                <w:ilvl w:val="0"/>
                <w:numId w:val="13"/>
              </w:numPr>
            </w:pPr>
            <w:r w:rsidRPr="00BE08C5">
              <w:t>Consults stakeholders early in critical organisation-wide decisions</w:t>
            </w:r>
          </w:p>
          <w:p w:rsidR="003F1B55" w:rsidRPr="00BE08C5" w:rsidRDefault="003F1B55" w:rsidP="00623911">
            <w:pPr>
              <w:numPr>
                <w:ilvl w:val="0"/>
                <w:numId w:val="13"/>
              </w:numPr>
            </w:pPr>
            <w:r w:rsidRPr="00BE08C5">
              <w:t>Stands by the decisions and actions of the OPDC</w:t>
            </w:r>
          </w:p>
          <w:p w:rsidR="003F1B55" w:rsidRPr="00BE08C5" w:rsidRDefault="003F1B55" w:rsidP="00623911">
            <w:pPr>
              <w:numPr>
                <w:ilvl w:val="0"/>
                <w:numId w:val="13"/>
              </w:numPr>
            </w:pPr>
            <w:r w:rsidRPr="00BE08C5">
              <w:t>Accepts and promotes accountability for the OPDC’s decision-making</w:t>
            </w:r>
          </w:p>
          <w:p w:rsidR="003F1B55" w:rsidRPr="00BE08C5" w:rsidRDefault="003F1B55" w:rsidP="00623911">
            <w:pPr>
              <w:numPr>
                <w:ilvl w:val="0"/>
                <w:numId w:val="13"/>
              </w:numPr>
            </w:pPr>
            <w:r w:rsidRPr="00BE08C5">
              <w:t>Ensures the organisation balances effective risk management with the need for timely actions</w:t>
            </w:r>
          </w:p>
          <w:p w:rsidR="00587AB8" w:rsidRDefault="00587AB8" w:rsidP="00623911">
            <w:pPr>
              <w:keepNext/>
              <w:outlineLvl w:val="0"/>
              <w:rPr>
                <w:b/>
                <w:bCs/>
                <w:u w:val="single"/>
              </w:rPr>
            </w:pPr>
          </w:p>
          <w:p w:rsidR="003F1B55" w:rsidRPr="00FD3C1D" w:rsidRDefault="003F1B55" w:rsidP="00623911">
            <w:pPr>
              <w:keepNext/>
              <w:outlineLvl w:val="0"/>
              <w:rPr>
                <w:b/>
                <w:bCs/>
                <w:u w:val="single"/>
              </w:rPr>
            </w:pPr>
            <w:r w:rsidRPr="00FD3C1D">
              <w:rPr>
                <w:b/>
                <w:bCs/>
                <w:u w:val="single"/>
              </w:rPr>
              <w:t>Planning and organising</w:t>
            </w:r>
          </w:p>
          <w:p w:rsidR="003F1B55" w:rsidRPr="00BE08C5" w:rsidRDefault="003F1B55" w:rsidP="00623911">
            <w:r w:rsidRPr="00BE08C5">
              <w:t>…is thinking ahead, managing time, priorities and risk and developing structured and efficient approaches to deliver work on time and to a high standard.</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performance</w:t>
            </w:r>
          </w:p>
          <w:p w:rsidR="003F1B55" w:rsidRPr="00BE08C5" w:rsidRDefault="003F1B55" w:rsidP="00623911">
            <w:pPr>
              <w:numPr>
                <w:ilvl w:val="0"/>
                <w:numId w:val="14"/>
              </w:numPr>
            </w:pPr>
            <w:r w:rsidRPr="00BE08C5">
              <w:t>Takes accountability for monitoring delivery of the OPDC’s commitments</w:t>
            </w:r>
          </w:p>
          <w:p w:rsidR="003F1B55" w:rsidRPr="00BE08C5" w:rsidRDefault="003F1B55" w:rsidP="00623911">
            <w:pPr>
              <w:numPr>
                <w:ilvl w:val="0"/>
                <w:numId w:val="14"/>
              </w:numPr>
            </w:pPr>
            <w:r w:rsidRPr="00BE08C5">
              <w:t>Uses quality assurance processes across the organisation as a feedback mechanism to improve performance</w:t>
            </w:r>
          </w:p>
          <w:p w:rsidR="003F1B55" w:rsidRPr="00BE08C5" w:rsidRDefault="003F1B55" w:rsidP="00623911">
            <w:pPr>
              <w:numPr>
                <w:ilvl w:val="0"/>
                <w:numId w:val="14"/>
              </w:numPr>
            </w:pPr>
            <w:r w:rsidRPr="00BE08C5">
              <w:t>Takes responsibility for ensuring tools and techniques are available for the effective management of programmes</w:t>
            </w:r>
          </w:p>
          <w:p w:rsidR="003F1B55" w:rsidRPr="00BE08C5" w:rsidRDefault="003F1B55" w:rsidP="00623911">
            <w:pPr>
              <w:numPr>
                <w:ilvl w:val="0"/>
                <w:numId w:val="14"/>
              </w:numPr>
            </w:pPr>
            <w:r w:rsidRPr="00BE08C5">
              <w:t>Realigns OPDC objectives to respond to changing external and internal agendas</w:t>
            </w:r>
          </w:p>
          <w:p w:rsidR="003F1B55" w:rsidRPr="00BE08C5" w:rsidRDefault="003F1B55" w:rsidP="00623911">
            <w:pPr>
              <w:numPr>
                <w:ilvl w:val="0"/>
                <w:numId w:val="14"/>
              </w:numPr>
            </w:pPr>
            <w:r w:rsidRPr="00BE08C5">
              <w:t>Uses feedback from all sectors as a performance measure for OPDC work</w:t>
            </w:r>
          </w:p>
          <w:p w:rsidR="003F1B55" w:rsidRPr="00BE08C5" w:rsidRDefault="003F1B55" w:rsidP="00623911"/>
          <w:p w:rsidR="00755AAA" w:rsidRDefault="00755AAA" w:rsidP="00623911">
            <w:pPr>
              <w:keepNext/>
              <w:outlineLvl w:val="0"/>
              <w:rPr>
                <w:b/>
                <w:bCs/>
                <w:u w:val="single"/>
              </w:rPr>
            </w:pPr>
          </w:p>
          <w:p w:rsidR="008B2BD1" w:rsidRDefault="008B2BD1" w:rsidP="00623911">
            <w:pPr>
              <w:keepNext/>
              <w:outlineLvl w:val="0"/>
              <w:rPr>
                <w:b/>
                <w:bCs/>
                <w:u w:val="single"/>
              </w:rPr>
            </w:pPr>
          </w:p>
          <w:p w:rsidR="003F1B55" w:rsidRPr="00FD3C1D" w:rsidRDefault="003F1B55" w:rsidP="00623911">
            <w:pPr>
              <w:keepNext/>
              <w:outlineLvl w:val="0"/>
              <w:rPr>
                <w:b/>
                <w:bCs/>
                <w:u w:val="single"/>
              </w:rPr>
            </w:pPr>
            <w:r w:rsidRPr="00FD3C1D">
              <w:rPr>
                <w:b/>
                <w:bCs/>
                <w:u w:val="single"/>
              </w:rPr>
              <w:t>Organisational awareness</w:t>
            </w:r>
          </w:p>
          <w:p w:rsidR="003F1B55" w:rsidRPr="00BE08C5" w:rsidRDefault="003F1B55" w:rsidP="00623911">
            <w:r w:rsidRPr="00BE08C5">
              <w:t>…is understanding and being sensitive to organisational dynamics, culture and politics across and beyond the OPDC and shaping our approach accordingly</w:t>
            </w:r>
            <w:r>
              <w:t>.</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performance</w:t>
            </w:r>
          </w:p>
          <w:p w:rsidR="003F1B55" w:rsidRPr="00BE08C5" w:rsidRDefault="003F1B55" w:rsidP="00623911">
            <w:pPr>
              <w:numPr>
                <w:ilvl w:val="0"/>
                <w:numId w:val="15"/>
              </w:numPr>
            </w:pPr>
            <w:r w:rsidRPr="00BE08C5">
              <w:t>Focuses on the needs of Londoners, promoting organisational awareness of how they impact OPDC priorities</w:t>
            </w:r>
          </w:p>
          <w:p w:rsidR="003F1B55" w:rsidRPr="00BE08C5" w:rsidRDefault="003F1B55" w:rsidP="00623911">
            <w:pPr>
              <w:numPr>
                <w:ilvl w:val="0"/>
                <w:numId w:val="15"/>
              </w:numPr>
            </w:pPr>
            <w:r w:rsidRPr="00BE08C5">
              <w:t>Anticipates and responds appropriately and professionally to political pressure, inspiring confidence and trust from politicians</w:t>
            </w:r>
          </w:p>
          <w:p w:rsidR="003F1B55" w:rsidRPr="00BE08C5" w:rsidRDefault="003F1B55" w:rsidP="00623911">
            <w:pPr>
              <w:numPr>
                <w:ilvl w:val="0"/>
                <w:numId w:val="15"/>
              </w:numPr>
            </w:pPr>
            <w:r w:rsidRPr="00BE08C5">
              <w:t>Shapes senior stakeholders’ perceptions of the OPDC, using their influence to support the OPDC agenda</w:t>
            </w:r>
          </w:p>
          <w:p w:rsidR="003F1B55" w:rsidRPr="00BE08C5" w:rsidRDefault="003F1B55" w:rsidP="00623911">
            <w:pPr>
              <w:numPr>
                <w:ilvl w:val="0"/>
                <w:numId w:val="15"/>
              </w:numPr>
            </w:pPr>
            <w:r w:rsidRPr="00BE08C5">
              <w:t>Influences Londoners’ perceptions of the OPDC, using the Media where appropriate</w:t>
            </w:r>
          </w:p>
          <w:p w:rsidR="003F1B55" w:rsidRPr="00BE08C5" w:rsidRDefault="003F1B55" w:rsidP="00623911">
            <w:pPr>
              <w:numPr>
                <w:ilvl w:val="0"/>
                <w:numId w:val="15"/>
              </w:numPr>
              <w:rPr>
                <w:b/>
                <w:bCs/>
              </w:rPr>
            </w:pPr>
            <w:r w:rsidRPr="00BE08C5">
              <w:t>Leads the organisation by setting the highest standard in upholding integrity and ethical behaviour</w:t>
            </w:r>
          </w:p>
          <w:p w:rsidR="003F1B55" w:rsidRDefault="003F1B55" w:rsidP="00623911">
            <w:pPr>
              <w:ind w:left="360"/>
              <w:rPr>
                <w:b/>
                <w:bCs/>
              </w:rPr>
            </w:pPr>
          </w:p>
          <w:p w:rsidR="00587AB8" w:rsidRPr="00BE08C5" w:rsidRDefault="00587AB8" w:rsidP="002D3558">
            <w:pPr>
              <w:rPr>
                <w:b/>
                <w:bCs/>
              </w:rPr>
            </w:pPr>
          </w:p>
          <w:p w:rsidR="003F1B55" w:rsidRPr="00FD3C1D" w:rsidRDefault="003F1B55" w:rsidP="00623911">
            <w:pPr>
              <w:keepNext/>
              <w:outlineLvl w:val="0"/>
              <w:rPr>
                <w:b/>
                <w:bCs/>
                <w:u w:val="single"/>
              </w:rPr>
            </w:pPr>
            <w:r w:rsidRPr="00FD3C1D">
              <w:rPr>
                <w:b/>
                <w:bCs/>
                <w:u w:val="single"/>
              </w:rPr>
              <w:t>Responding to pressure and change</w:t>
            </w:r>
          </w:p>
          <w:p w:rsidR="003F1B55" w:rsidRDefault="003F1B55" w:rsidP="00623911">
            <w:r w:rsidRPr="00BE08C5">
              <w:t>…is being flexible and adapting positively, to sustain performance when the situation changes, workload increases, tensions rise or priorities shift.</w:t>
            </w:r>
          </w:p>
          <w:p w:rsidR="003F1B55" w:rsidRPr="00BE08C5" w:rsidRDefault="003F1B55" w:rsidP="00623911"/>
          <w:p w:rsidR="003F1B55" w:rsidRPr="00BE08C5" w:rsidRDefault="003F1B55" w:rsidP="00623911">
            <w:pPr>
              <w:keepNext/>
              <w:outlineLvl w:val="1"/>
              <w:rPr>
                <w:u w:val="single"/>
              </w:rPr>
            </w:pPr>
            <w:r w:rsidRPr="00BE08C5">
              <w:rPr>
                <w:u w:val="single"/>
              </w:rPr>
              <w:t>Level 4 indicators of effective performance</w:t>
            </w:r>
          </w:p>
          <w:p w:rsidR="003F1B55" w:rsidRPr="00BE08C5" w:rsidRDefault="003F1B55" w:rsidP="00623911">
            <w:pPr>
              <w:numPr>
                <w:ilvl w:val="0"/>
                <w:numId w:val="16"/>
              </w:numPr>
            </w:pPr>
            <w:r w:rsidRPr="00BE08C5">
              <w:t>Demonstrates resilience in the face of challenge from staff, media and partner organisations</w:t>
            </w:r>
          </w:p>
          <w:p w:rsidR="003F1B55" w:rsidRPr="00BE08C5" w:rsidRDefault="003F1B55" w:rsidP="00623911">
            <w:pPr>
              <w:numPr>
                <w:ilvl w:val="0"/>
                <w:numId w:val="16"/>
              </w:numPr>
            </w:pPr>
            <w:r w:rsidRPr="00BE08C5">
              <w:t>Promotes the OPDC as a flexible organisation, responding to the changing needs of Londoners</w:t>
            </w:r>
          </w:p>
          <w:p w:rsidR="003F1B55" w:rsidRPr="00BE08C5" w:rsidRDefault="003F1B55" w:rsidP="00623911">
            <w:pPr>
              <w:numPr>
                <w:ilvl w:val="0"/>
                <w:numId w:val="16"/>
              </w:numPr>
            </w:pPr>
            <w:r w:rsidRPr="00BE08C5">
              <w:t>Shows positivity in the face of external pressure, minimising negative impact</w:t>
            </w:r>
          </w:p>
          <w:p w:rsidR="003F1B55" w:rsidRPr="00BE08C5" w:rsidRDefault="003F1B55" w:rsidP="00623911">
            <w:pPr>
              <w:numPr>
                <w:ilvl w:val="0"/>
                <w:numId w:val="16"/>
              </w:numPr>
            </w:pPr>
            <w:r w:rsidRPr="00BE08C5">
              <w:t>Drives a culture of continuous improvement</w:t>
            </w:r>
          </w:p>
          <w:p w:rsidR="003F1B55" w:rsidRPr="00BE08C5" w:rsidRDefault="003F1B55" w:rsidP="00623911">
            <w:pPr>
              <w:numPr>
                <w:ilvl w:val="0"/>
                <w:numId w:val="16"/>
              </w:numPr>
            </w:pPr>
            <w:r w:rsidRPr="00BE08C5">
              <w:t>Sets the direction for organisational development and ensures effective communication of change initiatives</w:t>
            </w:r>
          </w:p>
          <w:p w:rsidR="003F1B55" w:rsidRPr="00BE08C5" w:rsidRDefault="003F1B55" w:rsidP="00623911">
            <w:pPr>
              <w:ind w:right="-1186"/>
              <w:rPr>
                <w:szCs w:val="20"/>
              </w:rPr>
            </w:pPr>
          </w:p>
          <w:p w:rsidR="00303B1C" w:rsidRPr="00303B1C" w:rsidRDefault="00303B1C" w:rsidP="00623911">
            <w:pPr>
              <w:rPr>
                <w:b/>
                <w:u w:val="single"/>
              </w:rPr>
            </w:pPr>
          </w:p>
        </w:tc>
      </w:tr>
    </w:tbl>
    <w:p w:rsidR="00AF22A0" w:rsidRPr="00AF22A0" w:rsidRDefault="00AF22A0" w:rsidP="00AF22A0"/>
    <w:sectPr w:rsidR="00AF22A0" w:rsidRPr="00AF22A0" w:rsidSect="000439D6">
      <w:headerReference w:type="even" r:id="rId8"/>
      <w:headerReference w:type="default" r:id="rId9"/>
      <w:headerReference w:type="firs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A75" w:rsidRDefault="005D4A75" w:rsidP="00D24366">
      <w:r>
        <w:separator/>
      </w:r>
    </w:p>
  </w:endnote>
  <w:endnote w:type="continuationSeparator" w:id="0">
    <w:p w:rsidR="005D4A75" w:rsidRDefault="005D4A75"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A75" w:rsidRDefault="005D4A75" w:rsidP="00D24366">
      <w:r>
        <w:separator/>
      </w:r>
    </w:p>
  </w:footnote>
  <w:footnote w:type="continuationSeparator" w:id="0">
    <w:p w:rsidR="005D4A75" w:rsidRDefault="005D4A75"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F2" w:rsidRDefault="000D7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66" w:rsidRDefault="00D24366">
    <w:pPr>
      <w:pStyle w:val="Header"/>
    </w:pPr>
    <w:r>
      <w:tab/>
    </w:r>
    <w:r>
      <w:tab/>
    </w:r>
    <w:r>
      <w:rPr>
        <w:b/>
        <w:noProof/>
        <w:color w:val="BFBFBF"/>
        <w:sz w:val="28"/>
        <w:szCs w:val="28"/>
        <w:lang w:eastAsia="en-GB"/>
      </w:rPr>
      <w:drawing>
        <wp:inline distT="0" distB="0" distL="0" distR="0" wp14:anchorId="61CF7E72" wp14:editId="7032C30A">
          <wp:extent cx="866775" cy="627665"/>
          <wp:effectExtent l="0" t="0" r="0" b="1270"/>
          <wp:docPr id="2" name="Picture 2"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F2" w:rsidRDefault="000D7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9F1"/>
    <w:multiLevelType w:val="hybridMultilevel"/>
    <w:tmpl w:val="D59436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275CB"/>
    <w:multiLevelType w:val="hybridMultilevel"/>
    <w:tmpl w:val="84FC6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72567"/>
    <w:multiLevelType w:val="hybridMultilevel"/>
    <w:tmpl w:val="55D64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8517B"/>
    <w:multiLevelType w:val="hybridMultilevel"/>
    <w:tmpl w:val="3D0A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672A3"/>
    <w:multiLevelType w:val="hybridMultilevel"/>
    <w:tmpl w:val="D9B6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A4FCF"/>
    <w:multiLevelType w:val="hybridMultilevel"/>
    <w:tmpl w:val="1BEEB8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975AA7"/>
    <w:multiLevelType w:val="hybridMultilevel"/>
    <w:tmpl w:val="13A6194E"/>
    <w:lvl w:ilvl="0" w:tplc="41C47E5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D2488"/>
    <w:multiLevelType w:val="hybridMultilevel"/>
    <w:tmpl w:val="54080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C61073"/>
    <w:multiLevelType w:val="hybridMultilevel"/>
    <w:tmpl w:val="5FA25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03A51"/>
    <w:multiLevelType w:val="multilevel"/>
    <w:tmpl w:val="202A49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4D466F"/>
    <w:multiLevelType w:val="hybridMultilevel"/>
    <w:tmpl w:val="9CD4D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C4835"/>
    <w:multiLevelType w:val="hybridMultilevel"/>
    <w:tmpl w:val="BA666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1E033C"/>
    <w:multiLevelType w:val="hybridMultilevel"/>
    <w:tmpl w:val="42844304"/>
    <w:lvl w:ilvl="0" w:tplc="08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5D7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AD5614"/>
    <w:multiLevelType w:val="hybridMultilevel"/>
    <w:tmpl w:val="152A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7119A"/>
    <w:multiLevelType w:val="hybridMultilevel"/>
    <w:tmpl w:val="09428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5027D7"/>
    <w:multiLevelType w:val="hybridMultilevel"/>
    <w:tmpl w:val="2514D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F4504F"/>
    <w:multiLevelType w:val="multilevel"/>
    <w:tmpl w:val="3DE60A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8"/>
  </w:num>
  <w:num w:numId="4">
    <w:abstractNumId w:val="1"/>
  </w:num>
  <w:num w:numId="5">
    <w:abstractNumId w:val="11"/>
  </w:num>
  <w:num w:numId="6">
    <w:abstractNumId w:val="5"/>
  </w:num>
  <w:num w:numId="7">
    <w:abstractNumId w:val="3"/>
  </w:num>
  <w:num w:numId="8">
    <w:abstractNumId w:val="14"/>
  </w:num>
  <w:num w:numId="9">
    <w:abstractNumId w:val="12"/>
  </w:num>
  <w:num w:numId="10">
    <w:abstractNumId w:val="9"/>
  </w:num>
  <w:num w:numId="11">
    <w:abstractNumId w:val="10"/>
  </w:num>
  <w:num w:numId="12">
    <w:abstractNumId w:val="17"/>
  </w:num>
  <w:num w:numId="13">
    <w:abstractNumId w:val="16"/>
  </w:num>
  <w:num w:numId="14">
    <w:abstractNumId w:val="4"/>
  </w:num>
  <w:num w:numId="15">
    <w:abstractNumId w:val="18"/>
  </w:num>
  <w:num w:numId="16">
    <w:abstractNumId w:val="2"/>
  </w:num>
  <w:num w:numId="17">
    <w:abstractNumId w:val="7"/>
  </w:num>
  <w:num w:numId="18">
    <w:abstractNumId w:val="15"/>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1C"/>
    <w:rsid w:val="000136B9"/>
    <w:rsid w:val="00041C2E"/>
    <w:rsid w:val="000439D6"/>
    <w:rsid w:val="000517A5"/>
    <w:rsid w:val="00061B30"/>
    <w:rsid w:val="000D7AF2"/>
    <w:rsid w:val="001012D1"/>
    <w:rsid w:val="00127786"/>
    <w:rsid w:val="00136B90"/>
    <w:rsid w:val="00140C76"/>
    <w:rsid w:val="001550E0"/>
    <w:rsid w:val="00163123"/>
    <w:rsid w:val="001A790A"/>
    <w:rsid w:val="001E61DE"/>
    <w:rsid w:val="002039BA"/>
    <w:rsid w:val="00237018"/>
    <w:rsid w:val="00243D0C"/>
    <w:rsid w:val="002651BC"/>
    <w:rsid w:val="002940B0"/>
    <w:rsid w:val="002D3558"/>
    <w:rsid w:val="002E66FC"/>
    <w:rsid w:val="00303B1C"/>
    <w:rsid w:val="003358D0"/>
    <w:rsid w:val="0035694F"/>
    <w:rsid w:val="00375AB1"/>
    <w:rsid w:val="003865DC"/>
    <w:rsid w:val="003B45F1"/>
    <w:rsid w:val="003D2C2C"/>
    <w:rsid w:val="003E76F8"/>
    <w:rsid w:val="003F1B55"/>
    <w:rsid w:val="00421F15"/>
    <w:rsid w:val="00451C5D"/>
    <w:rsid w:val="004F048A"/>
    <w:rsid w:val="005060E7"/>
    <w:rsid w:val="0051252C"/>
    <w:rsid w:val="00515B27"/>
    <w:rsid w:val="00583C0A"/>
    <w:rsid w:val="00587AB8"/>
    <w:rsid w:val="005B55F5"/>
    <w:rsid w:val="005C0D78"/>
    <w:rsid w:val="005D4A75"/>
    <w:rsid w:val="00602FBE"/>
    <w:rsid w:val="00607CE9"/>
    <w:rsid w:val="00623911"/>
    <w:rsid w:val="00647E75"/>
    <w:rsid w:val="00654C0B"/>
    <w:rsid w:val="00665371"/>
    <w:rsid w:val="006A2936"/>
    <w:rsid w:val="006D01ED"/>
    <w:rsid w:val="0071133A"/>
    <w:rsid w:val="00755AAA"/>
    <w:rsid w:val="00795561"/>
    <w:rsid w:val="007E1BE1"/>
    <w:rsid w:val="0080423A"/>
    <w:rsid w:val="00820E48"/>
    <w:rsid w:val="00846A63"/>
    <w:rsid w:val="00846CB6"/>
    <w:rsid w:val="008A09D8"/>
    <w:rsid w:val="008A31CB"/>
    <w:rsid w:val="008B2BD1"/>
    <w:rsid w:val="009A1C02"/>
    <w:rsid w:val="009A320F"/>
    <w:rsid w:val="009A5262"/>
    <w:rsid w:val="009E118E"/>
    <w:rsid w:val="009F0A69"/>
    <w:rsid w:val="00A046E6"/>
    <w:rsid w:val="00A37FA6"/>
    <w:rsid w:val="00A44BCE"/>
    <w:rsid w:val="00A501E2"/>
    <w:rsid w:val="00A52421"/>
    <w:rsid w:val="00A57131"/>
    <w:rsid w:val="00A65415"/>
    <w:rsid w:val="00A674D0"/>
    <w:rsid w:val="00A74AD5"/>
    <w:rsid w:val="00A800B9"/>
    <w:rsid w:val="00AC2C6A"/>
    <w:rsid w:val="00AF22A0"/>
    <w:rsid w:val="00AF3C9F"/>
    <w:rsid w:val="00B0250D"/>
    <w:rsid w:val="00B0320A"/>
    <w:rsid w:val="00B14588"/>
    <w:rsid w:val="00B5666C"/>
    <w:rsid w:val="00BD59C8"/>
    <w:rsid w:val="00BE15A0"/>
    <w:rsid w:val="00C34A72"/>
    <w:rsid w:val="00C35FFA"/>
    <w:rsid w:val="00C5750E"/>
    <w:rsid w:val="00C9229D"/>
    <w:rsid w:val="00C935C6"/>
    <w:rsid w:val="00CA04C2"/>
    <w:rsid w:val="00CD586F"/>
    <w:rsid w:val="00CE0957"/>
    <w:rsid w:val="00D21772"/>
    <w:rsid w:val="00D24366"/>
    <w:rsid w:val="00D337CA"/>
    <w:rsid w:val="00D43831"/>
    <w:rsid w:val="00D44D45"/>
    <w:rsid w:val="00D5732C"/>
    <w:rsid w:val="00DC6473"/>
    <w:rsid w:val="00DF224F"/>
    <w:rsid w:val="00DF4DF7"/>
    <w:rsid w:val="00E629F6"/>
    <w:rsid w:val="00E76A9C"/>
    <w:rsid w:val="00E87062"/>
    <w:rsid w:val="00E970DA"/>
    <w:rsid w:val="00EB364A"/>
    <w:rsid w:val="00ED071B"/>
    <w:rsid w:val="00F07287"/>
    <w:rsid w:val="00F3398F"/>
    <w:rsid w:val="00F411A9"/>
    <w:rsid w:val="00F64D81"/>
    <w:rsid w:val="00FA10B2"/>
    <w:rsid w:val="00FA654B"/>
    <w:rsid w:val="00FB600D"/>
    <w:rsid w:val="00FD3C1D"/>
    <w:rsid w:val="00FF4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F05FC1"/>
  <w15:docId w15:val="{18C1AF17-EBF2-4167-A4D9-3ECA699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paragraph" w:styleId="ListParagraph">
    <w:name w:val="List Paragraph"/>
    <w:basedOn w:val="Normal"/>
    <w:uiPriority w:val="34"/>
    <w:qFormat/>
    <w:rsid w:val="00846A63"/>
    <w:pPr>
      <w:spacing w:after="200" w:line="276" w:lineRule="auto"/>
      <w:ind w:left="720"/>
      <w:contextualSpacing/>
    </w:pPr>
    <w:rPr>
      <w:rFonts w:ascii="Arial" w:eastAsia="Calibri" w:hAnsi="Arial"/>
      <w:sz w:val="22"/>
      <w:szCs w:val="22"/>
    </w:rPr>
  </w:style>
  <w:style w:type="character" w:styleId="CommentReference">
    <w:name w:val="annotation reference"/>
    <w:basedOn w:val="DefaultParagraphFont"/>
    <w:semiHidden/>
    <w:unhideWhenUsed/>
    <w:rsid w:val="00515B27"/>
    <w:rPr>
      <w:sz w:val="16"/>
      <w:szCs w:val="16"/>
    </w:rPr>
  </w:style>
  <w:style w:type="paragraph" w:styleId="CommentText">
    <w:name w:val="annotation text"/>
    <w:basedOn w:val="Normal"/>
    <w:link w:val="CommentTextChar"/>
    <w:semiHidden/>
    <w:unhideWhenUsed/>
    <w:rsid w:val="00515B27"/>
    <w:rPr>
      <w:sz w:val="20"/>
      <w:szCs w:val="20"/>
    </w:rPr>
  </w:style>
  <w:style w:type="character" w:customStyle="1" w:styleId="CommentTextChar">
    <w:name w:val="Comment Text Char"/>
    <w:basedOn w:val="DefaultParagraphFont"/>
    <w:link w:val="CommentText"/>
    <w:semiHidden/>
    <w:rsid w:val="00515B27"/>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515B27"/>
    <w:rPr>
      <w:b/>
      <w:bCs/>
    </w:rPr>
  </w:style>
  <w:style w:type="character" w:customStyle="1" w:styleId="CommentSubjectChar">
    <w:name w:val="Comment Subject Char"/>
    <w:basedOn w:val="CommentTextChar"/>
    <w:link w:val="CommentSubject"/>
    <w:semiHidden/>
    <w:rsid w:val="00515B27"/>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3803-30D9-4B7D-963A-E9FCC8E3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Preston</dc:creator>
  <cp:lastModifiedBy>Tony Preston</cp:lastModifiedBy>
  <cp:revision>5</cp:revision>
  <dcterms:created xsi:type="dcterms:W3CDTF">2017-08-30T14:08:00Z</dcterms:created>
  <dcterms:modified xsi:type="dcterms:W3CDTF">2017-09-18T15:20:00Z</dcterms:modified>
</cp:coreProperties>
</file>