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Y="435"/>
        <w:tblW w:w="0" w:type="auto"/>
        <w:tblLook w:val="04A0" w:firstRow="1" w:lastRow="0" w:firstColumn="1" w:lastColumn="0" w:noHBand="0" w:noVBand="1"/>
      </w:tblPr>
      <w:tblGrid>
        <w:gridCol w:w="2045"/>
        <w:gridCol w:w="198"/>
        <w:gridCol w:w="2568"/>
        <w:gridCol w:w="1985"/>
        <w:gridCol w:w="2220"/>
      </w:tblGrid>
      <w:tr w:rsidR="00303B1C" w:rsidRPr="00303B1C" w:rsidTr="00D24366"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D24366">
            <w:pPr>
              <w:jc w:val="center"/>
              <w:rPr>
                <w:b/>
                <w:sz w:val="28"/>
                <w:szCs w:val="28"/>
              </w:rPr>
            </w:pPr>
          </w:p>
          <w:p w:rsidR="00303B1C" w:rsidRPr="00303B1C" w:rsidRDefault="00303B1C" w:rsidP="00D24366">
            <w:pPr>
              <w:jc w:val="center"/>
              <w:rPr>
                <w:b/>
                <w:sz w:val="32"/>
                <w:szCs w:val="32"/>
              </w:rPr>
            </w:pPr>
            <w:r w:rsidRPr="00303B1C">
              <w:rPr>
                <w:b/>
                <w:sz w:val="32"/>
                <w:szCs w:val="32"/>
              </w:rPr>
              <w:t>Job Description</w:t>
            </w:r>
          </w:p>
          <w:p w:rsidR="00303B1C" w:rsidRPr="00303B1C" w:rsidRDefault="00303B1C" w:rsidP="00D24366">
            <w:pPr>
              <w:jc w:val="center"/>
            </w:pPr>
          </w:p>
        </w:tc>
      </w:tr>
      <w:tr w:rsidR="00303B1C" w:rsidRPr="00303B1C" w:rsidTr="00D24366">
        <w:trPr>
          <w:trHeight w:val="471"/>
        </w:trPr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:rsidR="00303B1C" w:rsidRPr="00303B1C" w:rsidRDefault="00303B1C" w:rsidP="00D24366">
            <w:r w:rsidRPr="00303B1C">
              <w:rPr>
                <w:b/>
              </w:rPr>
              <w:t>Job Title:</w:t>
            </w:r>
          </w:p>
        </w:tc>
        <w:tc>
          <w:tcPr>
            <w:tcW w:w="6969" w:type="dxa"/>
            <w:gridSpan w:val="3"/>
            <w:vAlign w:val="center"/>
          </w:tcPr>
          <w:p w:rsidR="00303B1C" w:rsidRPr="00A00982" w:rsidRDefault="00A00982" w:rsidP="00D24366">
            <w:r w:rsidRPr="00A00982">
              <w:t>Senior Development Manager</w:t>
            </w:r>
          </w:p>
        </w:tc>
      </w:tr>
      <w:tr w:rsidR="00D24366" w:rsidRPr="00303B1C" w:rsidTr="00D24366">
        <w:trPr>
          <w:trHeight w:val="420"/>
        </w:trPr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:rsidR="00303B1C" w:rsidRPr="00303B1C" w:rsidRDefault="00303B1C" w:rsidP="00D24366">
            <w:r w:rsidRPr="00303B1C">
              <w:rPr>
                <w:b/>
              </w:rPr>
              <w:t>Grade:</w:t>
            </w:r>
          </w:p>
        </w:tc>
        <w:tc>
          <w:tcPr>
            <w:tcW w:w="2655" w:type="dxa"/>
            <w:vAlign w:val="center"/>
          </w:tcPr>
          <w:p w:rsidR="00303B1C" w:rsidRPr="00303B1C" w:rsidRDefault="00D05FAC" w:rsidP="00D24366">
            <w:r>
              <w:t>12</w:t>
            </w:r>
          </w:p>
        </w:tc>
        <w:tc>
          <w:tcPr>
            <w:tcW w:w="2039" w:type="dxa"/>
            <w:shd w:val="clear" w:color="auto" w:fill="D9D9D9" w:themeFill="background1" w:themeFillShade="D9"/>
            <w:vAlign w:val="center"/>
          </w:tcPr>
          <w:p w:rsidR="00303B1C" w:rsidRPr="00303B1C" w:rsidRDefault="00303B1C" w:rsidP="00D24366">
            <w:r w:rsidRPr="00303B1C">
              <w:rPr>
                <w:b/>
              </w:rPr>
              <w:t>Post No:</w:t>
            </w:r>
          </w:p>
        </w:tc>
        <w:tc>
          <w:tcPr>
            <w:tcW w:w="2275" w:type="dxa"/>
            <w:vAlign w:val="center"/>
          </w:tcPr>
          <w:p w:rsidR="00303B1C" w:rsidRPr="00303B1C" w:rsidRDefault="002D4749" w:rsidP="00D24366">
            <w:r>
              <w:t>OPDC-SDM</w:t>
            </w:r>
            <w:bookmarkStart w:id="0" w:name="_GoBack"/>
            <w:bookmarkEnd w:id="0"/>
          </w:p>
        </w:tc>
      </w:tr>
      <w:tr w:rsidR="00303B1C" w:rsidRPr="00303B1C" w:rsidTr="00D24366">
        <w:trPr>
          <w:trHeight w:val="425"/>
        </w:trPr>
        <w:tc>
          <w:tcPr>
            <w:tcW w:w="2273" w:type="dxa"/>
            <w:gridSpan w:val="2"/>
            <w:shd w:val="clear" w:color="auto" w:fill="D9D9D9" w:themeFill="background1" w:themeFillShade="D9"/>
            <w:vAlign w:val="center"/>
          </w:tcPr>
          <w:p w:rsidR="00303B1C" w:rsidRPr="00303B1C" w:rsidRDefault="00303B1C" w:rsidP="00D24366">
            <w:r w:rsidRPr="00303B1C">
              <w:rPr>
                <w:b/>
              </w:rPr>
              <w:t>Directorate:</w:t>
            </w:r>
          </w:p>
        </w:tc>
        <w:tc>
          <w:tcPr>
            <w:tcW w:w="6969" w:type="dxa"/>
            <w:gridSpan w:val="3"/>
            <w:vAlign w:val="center"/>
          </w:tcPr>
          <w:p w:rsidR="00303B1C" w:rsidRPr="00A00982" w:rsidRDefault="00D05FAC" w:rsidP="00D24366">
            <w:r>
              <w:t>Commercial</w:t>
            </w:r>
          </w:p>
        </w:tc>
      </w:tr>
      <w:tr w:rsidR="00303B1C" w:rsidRPr="00303B1C" w:rsidTr="00D24366">
        <w:tblPrEx>
          <w:tblLook w:val="0000" w:firstRow="0" w:lastRow="0" w:firstColumn="0" w:lastColumn="0" w:noHBand="0" w:noVBand="0"/>
        </w:tblPrEx>
        <w:trPr>
          <w:trHeight w:val="404"/>
        </w:trPr>
        <w:tc>
          <w:tcPr>
            <w:tcW w:w="9242" w:type="dxa"/>
            <w:gridSpan w:val="5"/>
            <w:tcBorders>
              <w:bottom w:val="single" w:sz="4" w:space="0" w:color="auto"/>
            </w:tcBorders>
            <w:vAlign w:val="center"/>
          </w:tcPr>
          <w:p w:rsidR="00303B1C" w:rsidRPr="00303B1C" w:rsidRDefault="00303B1C" w:rsidP="00D24366">
            <w:r w:rsidRPr="00303B1C">
              <w:rPr>
                <w:b/>
              </w:rPr>
              <w:t>Job Purpose</w:t>
            </w:r>
          </w:p>
        </w:tc>
      </w:tr>
      <w:tr w:rsidR="00303B1C" w:rsidRPr="00303B1C" w:rsidTr="00A00982">
        <w:tblPrEx>
          <w:tblLook w:val="0000" w:firstRow="0" w:lastRow="0" w:firstColumn="0" w:lastColumn="0" w:noHBand="0" w:noVBand="0"/>
        </w:tblPrEx>
        <w:trPr>
          <w:trHeight w:val="2393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303B1C" w:rsidRPr="00303B1C" w:rsidRDefault="00303B1C" w:rsidP="00D24366">
            <w:pPr>
              <w:ind w:left="108"/>
            </w:pPr>
          </w:p>
          <w:p w:rsidR="0043224F" w:rsidRDefault="00A00982" w:rsidP="00A00982">
            <w:r w:rsidRPr="0014566D">
              <w:t xml:space="preserve">Reporting to the </w:t>
            </w:r>
            <w:r w:rsidR="00AB66F0">
              <w:t>Commercial Director</w:t>
            </w:r>
            <w:r w:rsidRPr="00BC4003">
              <w:t>, the Senior Development Manager</w:t>
            </w:r>
            <w:r>
              <w:t xml:space="preserve"> </w:t>
            </w:r>
            <w:r w:rsidRPr="0014566D">
              <w:t xml:space="preserve">is responsible for </w:t>
            </w:r>
            <w:r>
              <w:t xml:space="preserve">leading and </w:t>
            </w:r>
            <w:r w:rsidRPr="0014566D">
              <w:t>manag</w:t>
            </w:r>
            <w:r>
              <w:t xml:space="preserve">ing </w:t>
            </w:r>
            <w:r w:rsidRPr="0014566D">
              <w:t>development projects</w:t>
            </w:r>
            <w:r w:rsidR="00212DAE">
              <w:t xml:space="preserve"> within OPDC’s </w:t>
            </w:r>
            <w:r w:rsidR="00D05FAC">
              <w:t>mission</w:t>
            </w:r>
            <w:r w:rsidR="00212DAE">
              <w:t xml:space="preserve"> to bring forward comprehensive redevelopment of Old Oak and support the intensification</w:t>
            </w:r>
            <w:r w:rsidR="00E3198D">
              <w:t xml:space="preserve"> and impro</w:t>
            </w:r>
            <w:r w:rsidR="00B131E3">
              <w:t>vements</w:t>
            </w:r>
            <w:r w:rsidR="00212DAE">
              <w:t xml:space="preserve"> of Park Royal.  </w:t>
            </w:r>
          </w:p>
          <w:p w:rsidR="0043224F" w:rsidRDefault="0043224F" w:rsidP="00A00982"/>
          <w:p w:rsidR="00A00982" w:rsidRDefault="00212DAE" w:rsidP="00A00982">
            <w:r w:rsidRPr="00182827">
              <w:t xml:space="preserve">The Senior Development Manager will be responsible for managing </w:t>
            </w:r>
            <w:r w:rsidR="00D826E1" w:rsidRPr="00182827">
              <w:t xml:space="preserve">the financial control of projects, delivering to key milestones and delivering outcomes in accordance with project objectives. Also responsible for instructing and </w:t>
            </w:r>
            <w:r w:rsidR="00182827" w:rsidRPr="00182827">
              <w:t xml:space="preserve">managing </w:t>
            </w:r>
            <w:r w:rsidR="00AB66F0" w:rsidRPr="00182827">
              <w:t>external teams</w:t>
            </w:r>
            <w:r w:rsidR="00D826E1" w:rsidRPr="00182827">
              <w:t xml:space="preserve">, </w:t>
            </w:r>
            <w:r w:rsidR="00182827" w:rsidRPr="00182827">
              <w:t>the postholder</w:t>
            </w:r>
            <w:r w:rsidR="00D826E1" w:rsidRPr="00182827">
              <w:t xml:space="preserve"> will also provide</w:t>
            </w:r>
            <w:r w:rsidR="00A00982" w:rsidRPr="00182827">
              <w:t xml:space="preserve"> land and property </w:t>
            </w:r>
            <w:r w:rsidR="00D826E1" w:rsidRPr="00182827">
              <w:t>advice</w:t>
            </w:r>
            <w:r w:rsidR="00A00982" w:rsidRPr="00182827">
              <w:t xml:space="preserve"> into projects being developed and progressed by other teams within the organisation.</w:t>
            </w:r>
            <w:r w:rsidR="00A00982">
              <w:t xml:space="preserve">  </w:t>
            </w:r>
          </w:p>
          <w:p w:rsidR="00303B1C" w:rsidRPr="00303B1C" w:rsidRDefault="00303B1C" w:rsidP="00D24366">
            <w:pPr>
              <w:ind w:left="108"/>
            </w:pPr>
          </w:p>
          <w:p w:rsidR="00303B1C" w:rsidRPr="00303B1C" w:rsidRDefault="00303B1C" w:rsidP="00D24366">
            <w:pPr>
              <w:ind w:left="108"/>
            </w:pPr>
            <w:r w:rsidRPr="00303B1C">
              <w:t xml:space="preserve">  </w:t>
            </w:r>
          </w:p>
        </w:tc>
      </w:tr>
      <w:tr w:rsidR="00303B1C" w:rsidRPr="00303B1C" w:rsidTr="00D24366">
        <w:tblPrEx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D24366">
            <w:r w:rsidRPr="00303B1C">
              <w:t xml:space="preserve">   </w:t>
            </w:r>
            <w:r w:rsidRPr="00303B1C">
              <w:rPr>
                <w:b/>
              </w:rPr>
              <w:t>Principal accountabilities</w:t>
            </w:r>
          </w:p>
        </w:tc>
      </w:tr>
      <w:tr w:rsidR="00303B1C" w:rsidRPr="00303B1C" w:rsidTr="005667B5">
        <w:tblPrEx>
          <w:tblLook w:val="0000" w:firstRow="0" w:lastRow="0" w:firstColumn="0" w:lastColumn="0" w:noHBand="0" w:noVBand="0"/>
        </w:tblPrEx>
        <w:trPr>
          <w:trHeight w:val="3815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303B1C" w:rsidRDefault="00303B1C" w:rsidP="00D24366">
            <w:pPr>
              <w:ind w:left="720"/>
              <w:contextualSpacing/>
              <w:jc w:val="both"/>
              <w:rPr>
                <w:rFonts w:ascii="Arial" w:eastAsia="Calibri" w:hAnsi="Arial"/>
                <w:sz w:val="22"/>
                <w:szCs w:val="22"/>
              </w:rPr>
            </w:pPr>
          </w:p>
          <w:p w:rsidR="00ED24C1" w:rsidRDefault="00ED24C1" w:rsidP="005C3CB2">
            <w:pPr>
              <w:numPr>
                <w:ilvl w:val="0"/>
                <w:numId w:val="4"/>
              </w:numPr>
            </w:pPr>
            <w:r>
              <w:t>Support and input into OPDC’s strategic development plans for Old Oak</w:t>
            </w:r>
            <w:r w:rsidR="004D7EBA">
              <w:t xml:space="preserve"> and Park Royal</w:t>
            </w:r>
            <w:r>
              <w:t xml:space="preserve"> including land assembly strategy, development viability, phasing and delivery.</w:t>
            </w:r>
          </w:p>
          <w:p w:rsidR="00ED24C1" w:rsidRDefault="00ED24C1" w:rsidP="00ED24C1">
            <w:pPr>
              <w:ind w:left="360"/>
            </w:pPr>
          </w:p>
          <w:p w:rsidR="00ED24C1" w:rsidRDefault="00ED24C1" w:rsidP="005C3CB2">
            <w:pPr>
              <w:numPr>
                <w:ilvl w:val="0"/>
                <w:numId w:val="4"/>
              </w:numPr>
            </w:pPr>
            <w:r>
              <w:t>Support OPDC’s strategic financing plans including the input to support development joint ventures, lan</w:t>
            </w:r>
            <w:r w:rsidR="004D7EBA">
              <w:t xml:space="preserve">d disposal, debt investment, </w:t>
            </w:r>
            <w:r>
              <w:t>infrastructure investment</w:t>
            </w:r>
            <w:r w:rsidR="004D7EBA">
              <w:t xml:space="preserve"> and grant funding</w:t>
            </w:r>
            <w:r w:rsidR="00D05FAC">
              <w:t xml:space="preserve"> as required</w:t>
            </w:r>
            <w:r>
              <w:t>.</w:t>
            </w:r>
          </w:p>
          <w:p w:rsidR="004D7EBA" w:rsidRDefault="004D7EBA" w:rsidP="004D7EBA">
            <w:pPr>
              <w:pStyle w:val="ListParagraph"/>
            </w:pPr>
          </w:p>
          <w:p w:rsidR="004D7EBA" w:rsidRDefault="00DC139D" w:rsidP="005C3CB2">
            <w:pPr>
              <w:numPr>
                <w:ilvl w:val="0"/>
                <w:numId w:val="4"/>
              </w:numPr>
            </w:pPr>
            <w:r>
              <w:t>Manage</w:t>
            </w:r>
            <w:r w:rsidR="004D7EBA">
              <w:t xml:space="preserve"> Business Planning </w:t>
            </w:r>
            <w:r w:rsidR="004D7EBA" w:rsidRPr="004D7EBA">
              <w:t xml:space="preserve">with </w:t>
            </w:r>
            <w:r w:rsidR="004D7EBA">
              <w:t>accurate forecasting/modelling of development cashflows including expenditure, receipts and valuation over time.</w:t>
            </w:r>
          </w:p>
          <w:p w:rsidR="00ED24C1" w:rsidRDefault="00ED24C1" w:rsidP="00ED24C1"/>
          <w:p w:rsidR="00212DAE" w:rsidRDefault="00C4024E" w:rsidP="005C3CB2">
            <w:pPr>
              <w:numPr>
                <w:ilvl w:val="0"/>
                <w:numId w:val="4"/>
              </w:numPr>
            </w:pPr>
            <w:r>
              <w:t>Responsible for the</w:t>
            </w:r>
            <w:r w:rsidR="00212DAE">
              <w:t xml:space="preserve"> development </w:t>
            </w:r>
            <w:r w:rsidR="00ED24C1">
              <w:t xml:space="preserve">and capital projects including the acquisition and development of land, the commercialisation of existing </w:t>
            </w:r>
            <w:r w:rsidR="00D05FAC">
              <w:t xml:space="preserve">land </w:t>
            </w:r>
            <w:r w:rsidR="00ED24C1">
              <w:t>and direct or joint venture development activity.</w:t>
            </w:r>
          </w:p>
          <w:p w:rsidR="001B4A03" w:rsidRDefault="001B4A03" w:rsidP="00A825F7">
            <w:pPr>
              <w:pStyle w:val="ListParagraph"/>
            </w:pPr>
          </w:p>
          <w:p w:rsidR="005C3CB2" w:rsidRPr="00A825F7" w:rsidRDefault="005C3CB2" w:rsidP="00A825F7">
            <w:pPr>
              <w:numPr>
                <w:ilvl w:val="0"/>
                <w:numId w:val="4"/>
              </w:numPr>
              <w:spacing w:after="120"/>
              <w:jc w:val="both"/>
              <w:rPr>
                <w:rFonts w:cs="Tahoma"/>
              </w:rPr>
            </w:pPr>
            <w:r w:rsidRPr="00B30EBD">
              <w:rPr>
                <w:rFonts w:cs="Tahoma"/>
              </w:rPr>
              <w:t>Define the development concept, project outputs, outcomes, and performance measures demonstrating a clear link to strategic regeneration and economic development objectives</w:t>
            </w:r>
          </w:p>
          <w:p w:rsidR="005C3CB2" w:rsidRPr="00A825F7" w:rsidRDefault="005C3CB2" w:rsidP="00A825F7">
            <w:pPr>
              <w:pStyle w:val="ListParagraph"/>
              <w:rPr>
                <w:rFonts w:ascii="Foundry Form Sans" w:hAnsi="Foundry Form Sans"/>
                <w:color w:val="000000" w:themeColor="text1"/>
                <w:sz w:val="24"/>
                <w:szCs w:val="24"/>
              </w:rPr>
            </w:pPr>
          </w:p>
          <w:p w:rsidR="001B4A03" w:rsidRDefault="001B4A03" w:rsidP="005C3CB2">
            <w:pPr>
              <w:pStyle w:val="ListParagraph"/>
              <w:numPr>
                <w:ilvl w:val="0"/>
                <w:numId w:val="4"/>
              </w:numPr>
              <w:rPr>
                <w:rFonts w:ascii="Foundry Form Sans" w:hAnsi="Foundry Form Sans"/>
                <w:color w:val="FF0000"/>
                <w:sz w:val="24"/>
                <w:szCs w:val="24"/>
              </w:rPr>
            </w:pPr>
            <w:r>
              <w:rPr>
                <w:rFonts w:ascii="Foundry Form Sans" w:hAnsi="Foundry Form Sans"/>
                <w:color w:val="000000" w:themeColor="text1"/>
                <w:sz w:val="24"/>
                <w:szCs w:val="24"/>
              </w:rPr>
              <w:t xml:space="preserve">Overall </w:t>
            </w:r>
            <w:r w:rsidRPr="00C51586">
              <w:rPr>
                <w:rFonts w:ascii="Foundry Form Sans" w:hAnsi="Foundry Form Sans"/>
                <w:color w:val="000000" w:themeColor="text1"/>
                <w:sz w:val="24"/>
                <w:szCs w:val="24"/>
              </w:rPr>
              <w:t xml:space="preserve">responsibility for projects, undertake regular and accurate reporting of project including budgets and risks and </w:t>
            </w:r>
            <w:r>
              <w:rPr>
                <w:rFonts w:ascii="Foundry Form Sans" w:hAnsi="Foundry Form Sans"/>
                <w:color w:val="000000" w:themeColor="text1"/>
                <w:sz w:val="24"/>
                <w:szCs w:val="24"/>
              </w:rPr>
              <w:t xml:space="preserve">with advice and </w:t>
            </w:r>
            <w:r w:rsidRPr="00C51586">
              <w:rPr>
                <w:rFonts w:ascii="Foundry Form Sans" w:hAnsi="Foundry Form Sans"/>
                <w:color w:val="000000" w:themeColor="text1"/>
                <w:sz w:val="24"/>
                <w:szCs w:val="24"/>
              </w:rPr>
              <w:t xml:space="preserve">guidance from the </w:t>
            </w:r>
            <w:r>
              <w:rPr>
                <w:rFonts w:ascii="Foundry Form Sans" w:hAnsi="Foundry Form Sans"/>
                <w:color w:val="000000" w:themeColor="text1"/>
                <w:sz w:val="24"/>
                <w:szCs w:val="24"/>
              </w:rPr>
              <w:t>Commercial Director and wider team as required.</w:t>
            </w:r>
            <w:r w:rsidRPr="00C51586">
              <w:rPr>
                <w:rFonts w:ascii="Foundry Form Sans" w:hAnsi="Foundry Form Sans"/>
                <w:color w:val="FF0000"/>
                <w:sz w:val="24"/>
                <w:szCs w:val="24"/>
              </w:rPr>
              <w:t xml:space="preserve"> </w:t>
            </w:r>
          </w:p>
          <w:p w:rsidR="00C86B65" w:rsidRPr="00A825F7" w:rsidRDefault="00C86B65" w:rsidP="00A825F7">
            <w:pPr>
              <w:pStyle w:val="ListParagraph"/>
              <w:rPr>
                <w:rFonts w:ascii="Foundry Form Sans" w:hAnsi="Foundry Form Sans"/>
                <w:color w:val="FF0000"/>
                <w:sz w:val="24"/>
                <w:szCs w:val="24"/>
              </w:rPr>
            </w:pPr>
          </w:p>
          <w:p w:rsidR="001B4A03" w:rsidRPr="00A825F7" w:rsidRDefault="00C86B65" w:rsidP="00A825F7">
            <w:pPr>
              <w:numPr>
                <w:ilvl w:val="0"/>
                <w:numId w:val="4"/>
              </w:numPr>
              <w:spacing w:after="120"/>
              <w:jc w:val="both"/>
              <w:rPr>
                <w:color w:val="FF0000"/>
              </w:rPr>
            </w:pPr>
            <w:r w:rsidRPr="00B30EBD">
              <w:rPr>
                <w:rFonts w:cs="Tahoma"/>
              </w:rPr>
              <w:t xml:space="preserve">Identify and promote </w:t>
            </w:r>
            <w:r>
              <w:rPr>
                <w:rFonts w:cs="Tahoma"/>
              </w:rPr>
              <w:t xml:space="preserve">new </w:t>
            </w:r>
            <w:r w:rsidR="00B613D1">
              <w:rPr>
                <w:rFonts w:cs="Tahoma"/>
              </w:rPr>
              <w:t>development opportunities</w:t>
            </w:r>
            <w:r w:rsidRPr="00B30EBD">
              <w:rPr>
                <w:rFonts w:cs="Tahoma"/>
              </w:rPr>
              <w:t xml:space="preserve"> that meet</w:t>
            </w:r>
            <w:r>
              <w:rPr>
                <w:rFonts w:cs="Tahoma"/>
              </w:rPr>
              <w:t xml:space="preserve"> the OPDC</w:t>
            </w:r>
            <w:r w:rsidR="00B613D1">
              <w:rPr>
                <w:rFonts w:cs="Tahoma"/>
              </w:rPr>
              <w:t xml:space="preserve">’s objectives. </w:t>
            </w:r>
            <w:r>
              <w:rPr>
                <w:rFonts w:cs="Tahoma"/>
              </w:rPr>
              <w:t xml:space="preserve"> </w:t>
            </w:r>
          </w:p>
          <w:p w:rsidR="001B4A03" w:rsidRDefault="001B4A03" w:rsidP="00A825F7">
            <w:pPr>
              <w:numPr>
                <w:ilvl w:val="0"/>
                <w:numId w:val="4"/>
              </w:numPr>
              <w:spacing w:after="120"/>
              <w:jc w:val="both"/>
            </w:pPr>
            <w:r>
              <w:rPr>
                <w:rFonts w:cs="Tahoma"/>
              </w:rPr>
              <w:lastRenderedPageBreak/>
              <w:t xml:space="preserve">Take full responsibility for the accurate and regular reporting of all development project  activity, including </w:t>
            </w:r>
            <w:r w:rsidRPr="00B30EBD">
              <w:rPr>
                <w:rFonts w:cs="Tahoma"/>
              </w:rPr>
              <w:t>development concept, project out</w:t>
            </w:r>
            <w:r>
              <w:rPr>
                <w:rFonts w:cs="Tahoma"/>
              </w:rPr>
              <w:t>puts, outcome, risks and performance</w:t>
            </w:r>
          </w:p>
          <w:p w:rsidR="00A00982" w:rsidRDefault="00A00982" w:rsidP="00A825F7"/>
          <w:p w:rsidR="00A00982" w:rsidRDefault="00A00982" w:rsidP="005C3CB2">
            <w:pPr>
              <w:numPr>
                <w:ilvl w:val="0"/>
                <w:numId w:val="4"/>
              </w:numPr>
            </w:pPr>
            <w:r>
              <w:t xml:space="preserve">Commission and </w:t>
            </w:r>
            <w:r w:rsidR="00881D0B">
              <w:t xml:space="preserve">direct </w:t>
            </w:r>
            <w:r>
              <w:t>multi-disciplinary consultancy teams and p</w:t>
            </w:r>
            <w:r w:rsidRPr="0014566D">
              <w:t xml:space="preserve">rofessionally appraise </w:t>
            </w:r>
            <w:r>
              <w:t xml:space="preserve">consultancy outputs. </w:t>
            </w:r>
          </w:p>
          <w:p w:rsidR="00A00982" w:rsidRDefault="00A00982" w:rsidP="00A00982">
            <w:pPr>
              <w:pStyle w:val="ListParagraph"/>
            </w:pPr>
          </w:p>
          <w:p w:rsidR="00A00982" w:rsidRPr="00A00982" w:rsidRDefault="00DC139D" w:rsidP="005C3CB2">
            <w:pPr>
              <w:numPr>
                <w:ilvl w:val="0"/>
                <w:numId w:val="4"/>
              </w:numPr>
              <w:rPr>
                <w:color w:val="1F497D"/>
              </w:rPr>
            </w:pPr>
            <w:r>
              <w:t>Manage</w:t>
            </w:r>
            <w:r w:rsidR="00234D36">
              <w:t xml:space="preserve"> development </w:t>
            </w:r>
            <w:r w:rsidR="00A00982">
              <w:t xml:space="preserve">strategies, </w:t>
            </w:r>
            <w:r w:rsidR="00234D36">
              <w:t>including managing</w:t>
            </w:r>
            <w:r w:rsidR="005663F8">
              <w:t xml:space="preserve"> the procurement </w:t>
            </w:r>
            <w:r w:rsidR="00A00982">
              <w:t>process and negotiate agreements with partners d</w:t>
            </w:r>
            <w:r w:rsidR="00A00982" w:rsidRPr="0014566D">
              <w:t>rawing on legal and other expertise as required</w:t>
            </w:r>
            <w:r w:rsidR="00A00982">
              <w:t xml:space="preserve">.  </w:t>
            </w:r>
          </w:p>
          <w:p w:rsidR="00A00982" w:rsidRDefault="00A00982" w:rsidP="00A00982">
            <w:pPr>
              <w:pStyle w:val="ListParagraph"/>
              <w:rPr>
                <w:color w:val="1F497D"/>
              </w:rPr>
            </w:pPr>
          </w:p>
          <w:p w:rsidR="00A00982" w:rsidRDefault="00A00982" w:rsidP="005C3CB2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4D7EBA">
              <w:rPr>
                <w:color w:val="000000" w:themeColor="text1"/>
              </w:rPr>
              <w:t xml:space="preserve">Responsible for the management of budgets for specific </w:t>
            </w:r>
            <w:r w:rsidR="00234D36" w:rsidRPr="004D7EBA">
              <w:rPr>
                <w:color w:val="000000" w:themeColor="text1"/>
              </w:rPr>
              <w:t>development</w:t>
            </w:r>
            <w:r w:rsidRPr="004D7EBA">
              <w:rPr>
                <w:color w:val="000000" w:themeColor="text1"/>
              </w:rPr>
              <w:t xml:space="preserve"> projects. T</w:t>
            </w:r>
            <w:r w:rsidRPr="00A76424">
              <w:rPr>
                <w:color w:val="000000" w:themeColor="text1"/>
              </w:rPr>
              <w:t>he post</w:t>
            </w:r>
            <w:r w:rsidR="00234D36">
              <w:rPr>
                <w:color w:val="000000" w:themeColor="text1"/>
              </w:rPr>
              <w:t>-</w:t>
            </w:r>
            <w:r w:rsidRPr="00A76424">
              <w:rPr>
                <w:color w:val="000000" w:themeColor="text1"/>
              </w:rPr>
              <w:t xml:space="preserve">holder will have </w:t>
            </w:r>
            <w:r w:rsidR="00234D36">
              <w:rPr>
                <w:color w:val="000000" w:themeColor="text1"/>
              </w:rPr>
              <w:t>primary</w:t>
            </w:r>
            <w:r w:rsidRPr="00A76424">
              <w:rPr>
                <w:color w:val="000000" w:themeColor="text1"/>
              </w:rPr>
              <w:t xml:space="preserve"> responsibility for </w:t>
            </w:r>
            <w:r w:rsidR="00234D36">
              <w:rPr>
                <w:color w:val="000000" w:themeColor="text1"/>
              </w:rPr>
              <w:t>those development</w:t>
            </w:r>
            <w:r w:rsidRPr="00A76424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projects</w:t>
            </w:r>
            <w:r w:rsidRPr="00A76424">
              <w:rPr>
                <w:color w:val="000000" w:themeColor="text1"/>
              </w:rPr>
              <w:t xml:space="preserve"> that fall within this budget. </w:t>
            </w:r>
          </w:p>
          <w:p w:rsidR="00A00982" w:rsidRDefault="00A00982" w:rsidP="00A00982">
            <w:pPr>
              <w:pStyle w:val="ListParagraph"/>
              <w:rPr>
                <w:color w:val="000000" w:themeColor="text1"/>
              </w:rPr>
            </w:pPr>
          </w:p>
          <w:p w:rsidR="00A00982" w:rsidRDefault="00A00982" w:rsidP="005C3CB2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 w:rsidRPr="00A76424">
              <w:rPr>
                <w:color w:val="000000" w:themeColor="text1"/>
              </w:rPr>
              <w:t xml:space="preserve">Develop and manage </w:t>
            </w:r>
            <w:r w:rsidR="005C3CB2">
              <w:rPr>
                <w:color w:val="000000" w:themeColor="text1"/>
              </w:rPr>
              <w:t xml:space="preserve">key </w:t>
            </w:r>
            <w:r w:rsidRPr="00A76424">
              <w:rPr>
                <w:color w:val="000000" w:themeColor="text1"/>
              </w:rPr>
              <w:t>relationships with landowners</w:t>
            </w:r>
            <w:r w:rsidR="00234D36">
              <w:rPr>
                <w:color w:val="000000" w:themeColor="text1"/>
              </w:rPr>
              <w:t>, developers, investors, joint-venture partners and other key commercial stakeholders</w:t>
            </w:r>
            <w:r w:rsidRPr="00A76424">
              <w:rPr>
                <w:color w:val="000000" w:themeColor="text1"/>
              </w:rPr>
              <w:t xml:space="preserve">. </w:t>
            </w:r>
          </w:p>
          <w:p w:rsidR="00A00982" w:rsidRDefault="00A00982" w:rsidP="00A00982">
            <w:pPr>
              <w:pStyle w:val="ListParagraph"/>
              <w:rPr>
                <w:color w:val="000000" w:themeColor="text1"/>
              </w:rPr>
            </w:pPr>
          </w:p>
          <w:p w:rsidR="00A00982" w:rsidRDefault="00A00982" w:rsidP="005C3CB2">
            <w:pPr>
              <w:numPr>
                <w:ilvl w:val="0"/>
                <w:numId w:val="4"/>
              </w:num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Responsible for </w:t>
            </w:r>
            <w:r w:rsidRPr="00A76424">
              <w:rPr>
                <w:color w:val="000000" w:themeColor="text1"/>
              </w:rPr>
              <w:t xml:space="preserve">the preparation </w:t>
            </w:r>
            <w:r w:rsidR="00DC139D">
              <w:rPr>
                <w:color w:val="000000" w:themeColor="text1"/>
              </w:rPr>
              <w:t xml:space="preserve">and presentation </w:t>
            </w:r>
            <w:r w:rsidRPr="00A76424">
              <w:rPr>
                <w:color w:val="000000" w:themeColor="text1"/>
              </w:rPr>
              <w:t>of update/approval papers for the OPDC Board and Investment Committee as well as any other appropriate decision making forums.</w:t>
            </w:r>
          </w:p>
          <w:p w:rsidR="005C3CB2" w:rsidRDefault="005C3CB2" w:rsidP="00A825F7">
            <w:pPr>
              <w:pStyle w:val="ListParagraph"/>
              <w:rPr>
                <w:color w:val="000000" w:themeColor="text1"/>
              </w:rPr>
            </w:pPr>
          </w:p>
          <w:p w:rsidR="00303B1C" w:rsidRPr="005957B8" w:rsidRDefault="005C3CB2" w:rsidP="005957B8">
            <w:pPr>
              <w:numPr>
                <w:ilvl w:val="0"/>
                <w:numId w:val="4"/>
              </w:numPr>
              <w:spacing w:after="120"/>
              <w:rPr>
                <w:rFonts w:cs="Tahoma"/>
              </w:rPr>
            </w:pPr>
            <w:r w:rsidRPr="00B30EBD">
              <w:rPr>
                <w:rFonts w:cs="Tahoma"/>
              </w:rPr>
              <w:t>Realise the benefits of London’s diversity by promoting and enabling equality of opportunities, and promoting the diverse needs and aspirations of London’s communities.</w:t>
            </w:r>
          </w:p>
          <w:p w:rsidR="00314B12" w:rsidRPr="00303B1C" w:rsidRDefault="00314B12" w:rsidP="00D24366">
            <w:pPr>
              <w:spacing w:before="240" w:line="276" w:lineRule="auto"/>
              <w:ind w:left="720"/>
              <w:contextualSpacing/>
              <w:jc w:val="both"/>
              <w:rPr>
                <w:u w:val="single"/>
              </w:rPr>
            </w:pPr>
          </w:p>
        </w:tc>
      </w:tr>
      <w:tr w:rsidR="00303B1C" w:rsidRPr="00303B1C" w:rsidTr="0099045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9242" w:type="dxa"/>
            <w:gridSpan w:val="5"/>
            <w:vAlign w:val="center"/>
          </w:tcPr>
          <w:p w:rsidR="00303B1C" w:rsidRPr="005F3630" w:rsidRDefault="00303B1C" w:rsidP="005F3630">
            <w:pPr>
              <w:rPr>
                <w:b/>
              </w:rPr>
            </w:pPr>
            <w:r w:rsidRPr="00303B1C">
              <w:rPr>
                <w:b/>
              </w:rPr>
              <w:lastRenderedPageBreak/>
              <w:t>Key contacts:</w:t>
            </w:r>
          </w:p>
        </w:tc>
      </w:tr>
      <w:tr w:rsidR="00303B1C" w:rsidRPr="00303B1C" w:rsidTr="0099045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067" w:type="dxa"/>
            <w:vAlign w:val="center"/>
          </w:tcPr>
          <w:p w:rsidR="00303B1C" w:rsidRPr="00A00982" w:rsidRDefault="00303B1C" w:rsidP="00A00982">
            <w:pPr>
              <w:rPr>
                <w:b/>
              </w:rPr>
            </w:pPr>
            <w:r w:rsidRPr="00303B1C">
              <w:rPr>
                <w:b/>
              </w:rPr>
              <w:t>Accountable to:</w:t>
            </w:r>
          </w:p>
        </w:tc>
        <w:tc>
          <w:tcPr>
            <w:tcW w:w="7175" w:type="dxa"/>
            <w:gridSpan w:val="4"/>
            <w:vAlign w:val="center"/>
          </w:tcPr>
          <w:p w:rsidR="00303B1C" w:rsidRPr="00303B1C" w:rsidRDefault="004F5963" w:rsidP="00A00982">
            <w:r>
              <w:t>Commercial Director</w:t>
            </w:r>
            <w:r w:rsidR="00A00982">
              <w:t xml:space="preserve"> </w:t>
            </w:r>
            <w:r w:rsidR="00A00982" w:rsidRPr="00B31597">
              <w:t xml:space="preserve"> </w:t>
            </w:r>
          </w:p>
        </w:tc>
      </w:tr>
      <w:tr w:rsidR="00303B1C" w:rsidRPr="00303B1C" w:rsidTr="00990454">
        <w:tblPrEx>
          <w:tblLook w:val="0000" w:firstRow="0" w:lastRow="0" w:firstColumn="0" w:lastColumn="0" w:noHBand="0" w:noVBand="0"/>
        </w:tblPrEx>
        <w:trPr>
          <w:trHeight w:val="552"/>
        </w:trPr>
        <w:tc>
          <w:tcPr>
            <w:tcW w:w="2067" w:type="dxa"/>
            <w:tcBorders>
              <w:bottom w:val="single" w:sz="4" w:space="0" w:color="auto"/>
            </w:tcBorders>
            <w:vAlign w:val="center"/>
          </w:tcPr>
          <w:p w:rsidR="00303B1C" w:rsidRPr="00303B1C" w:rsidRDefault="00303B1C" w:rsidP="00D24366">
            <w:r w:rsidRPr="00303B1C">
              <w:rPr>
                <w:b/>
              </w:rPr>
              <w:t>Accountable for:</w:t>
            </w:r>
          </w:p>
        </w:tc>
        <w:tc>
          <w:tcPr>
            <w:tcW w:w="7175" w:type="dxa"/>
            <w:gridSpan w:val="4"/>
            <w:tcBorders>
              <w:bottom w:val="single" w:sz="4" w:space="0" w:color="auto"/>
            </w:tcBorders>
            <w:vAlign w:val="center"/>
          </w:tcPr>
          <w:p w:rsidR="00303B1C" w:rsidRPr="00303B1C" w:rsidRDefault="00A37FA6" w:rsidP="00D24366">
            <w:r>
              <w:t>Resources allocated to the job</w:t>
            </w:r>
          </w:p>
        </w:tc>
      </w:tr>
      <w:tr w:rsidR="00303B1C" w:rsidRPr="00303B1C" w:rsidTr="00D24366">
        <w:tblPrEx>
          <w:tblLook w:val="0000" w:firstRow="0" w:lastRow="0" w:firstColumn="0" w:lastColumn="0" w:noHBand="0" w:noVBand="0"/>
        </w:tblPrEx>
        <w:trPr>
          <w:trHeight w:val="520"/>
        </w:trPr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D24366">
            <w:pPr>
              <w:ind w:left="108"/>
              <w:rPr>
                <w:rFonts w:cs="Arial"/>
                <w:b/>
                <w:color w:val="000000" w:themeColor="text1"/>
                <w:u w:val="single"/>
              </w:rPr>
            </w:pPr>
            <w:r w:rsidRPr="00303B1C">
              <w:rPr>
                <w:rFonts w:cs="Arial"/>
                <w:b/>
                <w:color w:val="000000" w:themeColor="text1"/>
              </w:rPr>
              <w:t>Technical Requirements</w:t>
            </w:r>
          </w:p>
        </w:tc>
      </w:tr>
      <w:tr w:rsidR="00303B1C" w:rsidRPr="00303B1C" w:rsidTr="005667B5">
        <w:tblPrEx>
          <w:tblLook w:val="0000" w:firstRow="0" w:lastRow="0" w:firstColumn="0" w:lastColumn="0" w:noHBand="0" w:noVBand="0"/>
        </w:tblPrEx>
        <w:trPr>
          <w:trHeight w:val="4155"/>
        </w:trPr>
        <w:tc>
          <w:tcPr>
            <w:tcW w:w="9242" w:type="dxa"/>
            <w:gridSpan w:val="5"/>
            <w:tcBorders>
              <w:bottom w:val="single" w:sz="4" w:space="0" w:color="auto"/>
            </w:tcBorders>
          </w:tcPr>
          <w:p w:rsidR="00303B1C" w:rsidRDefault="00303B1C" w:rsidP="00D24366">
            <w:pPr>
              <w:spacing w:after="40"/>
              <w:ind w:left="828" w:right="85"/>
              <w:jc w:val="both"/>
              <w:rPr>
                <w:rFonts w:cs="Arial"/>
                <w:color w:val="000000"/>
              </w:rPr>
            </w:pPr>
          </w:p>
          <w:p w:rsidR="005F3630" w:rsidRDefault="005C3CB2" w:rsidP="00412264">
            <w:pPr>
              <w:numPr>
                <w:ilvl w:val="0"/>
                <w:numId w:val="5"/>
              </w:numPr>
            </w:pPr>
            <w:r>
              <w:t>P</w:t>
            </w:r>
            <w:r w:rsidR="005F3630" w:rsidRPr="0014566D">
              <w:t xml:space="preserve">rofessional qualification (chartered surveyor or similar) </w:t>
            </w:r>
            <w:r w:rsidR="00DC139D">
              <w:t>and/</w:t>
            </w:r>
            <w:r w:rsidR="004540AE">
              <w:t>or</w:t>
            </w:r>
            <w:r w:rsidR="004F5963">
              <w:t xml:space="preserve"> suitable experience</w:t>
            </w:r>
            <w:r>
              <w:t>.</w:t>
            </w:r>
          </w:p>
          <w:p w:rsidR="005F3630" w:rsidRPr="0014566D" w:rsidRDefault="005F3630" w:rsidP="005F3630">
            <w:pPr>
              <w:ind w:left="720"/>
            </w:pPr>
          </w:p>
          <w:p w:rsidR="005F3630" w:rsidRDefault="004F5963" w:rsidP="00412264">
            <w:pPr>
              <w:numPr>
                <w:ilvl w:val="0"/>
                <w:numId w:val="5"/>
              </w:numPr>
            </w:pPr>
            <w:r>
              <w:t>Good</w:t>
            </w:r>
            <w:r w:rsidR="005F3630" w:rsidRPr="0014566D">
              <w:t xml:space="preserve"> understanding of relevant technical matters, </w:t>
            </w:r>
            <w:r w:rsidR="005F3630">
              <w:t xml:space="preserve">property due diligence, the commercial viability of projects, master plan development, phasing and implementation strategies, </w:t>
            </w:r>
            <w:r>
              <w:t>development</w:t>
            </w:r>
            <w:r w:rsidR="005F3630">
              <w:t xml:space="preserve"> and legal agreements for joint venture/partnership agreements</w:t>
            </w:r>
            <w:r w:rsidR="005C3CB2">
              <w:t>.</w:t>
            </w:r>
          </w:p>
          <w:p w:rsidR="005F3630" w:rsidRDefault="005F3630" w:rsidP="005F3630">
            <w:pPr>
              <w:pStyle w:val="ListParagraph"/>
            </w:pPr>
          </w:p>
          <w:p w:rsidR="005F3630" w:rsidRDefault="005F3630" w:rsidP="00412264">
            <w:pPr>
              <w:numPr>
                <w:ilvl w:val="0"/>
                <w:numId w:val="5"/>
              </w:numPr>
            </w:pPr>
            <w:r>
              <w:t xml:space="preserve">The ability to interpret and interrogate financial </w:t>
            </w:r>
            <w:r w:rsidRPr="001C73B6">
              <w:t>appraisals thoroughly and convincingly;</w:t>
            </w:r>
          </w:p>
          <w:p w:rsidR="00412264" w:rsidRDefault="00412264" w:rsidP="00A825F7">
            <w:pPr>
              <w:pStyle w:val="ListParagraph"/>
            </w:pPr>
          </w:p>
          <w:p w:rsidR="00412264" w:rsidRPr="00B613D1" w:rsidRDefault="00412264" w:rsidP="00A825F7">
            <w:pPr>
              <w:numPr>
                <w:ilvl w:val="0"/>
                <w:numId w:val="5"/>
              </w:numPr>
              <w:spacing w:after="120"/>
              <w:jc w:val="both"/>
              <w:rPr>
                <w:rFonts w:cs="Tahoma"/>
              </w:rPr>
            </w:pPr>
            <w:r w:rsidRPr="00B30EBD">
              <w:rPr>
                <w:rFonts w:cs="Tahoma"/>
              </w:rPr>
              <w:t>Experience of managing developments to deliver regene</w:t>
            </w:r>
            <w:r>
              <w:rPr>
                <w:rFonts w:cs="Tahoma"/>
              </w:rPr>
              <w:t>ration and economic development.</w:t>
            </w:r>
          </w:p>
          <w:p w:rsidR="005F3630" w:rsidRDefault="005F3630" w:rsidP="00A825F7"/>
          <w:p w:rsidR="008B008C" w:rsidRDefault="005F3630" w:rsidP="00A825F7">
            <w:pPr>
              <w:numPr>
                <w:ilvl w:val="0"/>
                <w:numId w:val="5"/>
              </w:numPr>
              <w:contextualSpacing/>
              <w:jc w:val="both"/>
              <w:rPr>
                <w:rFonts w:cs="Arial"/>
                <w:color w:val="000000"/>
              </w:rPr>
            </w:pPr>
            <w:r>
              <w:t>G</w:t>
            </w:r>
            <w:r w:rsidRPr="001C73B6">
              <w:t>ood commercial awareness and understanding of the property sector.</w:t>
            </w:r>
          </w:p>
          <w:p w:rsidR="00AB3B5E" w:rsidRPr="00303B1C" w:rsidRDefault="00AB3B5E" w:rsidP="00AB3B5E">
            <w:pPr>
              <w:contextualSpacing/>
              <w:jc w:val="both"/>
              <w:rPr>
                <w:rFonts w:cs="Arial"/>
                <w:color w:val="000000"/>
              </w:rPr>
            </w:pPr>
          </w:p>
        </w:tc>
      </w:tr>
      <w:tr w:rsidR="00303B1C" w:rsidRPr="00303B1C" w:rsidTr="00D24366">
        <w:tblPrEx>
          <w:tblLook w:val="0000" w:firstRow="0" w:lastRow="0" w:firstColumn="0" w:lastColumn="0" w:noHBand="0" w:noVBand="0"/>
        </w:tblPrEx>
        <w:trPr>
          <w:trHeight w:val="510"/>
        </w:trPr>
        <w:tc>
          <w:tcPr>
            <w:tcW w:w="9242" w:type="dxa"/>
            <w:gridSpan w:val="5"/>
            <w:shd w:val="clear" w:color="auto" w:fill="D9D9D9" w:themeFill="background1" w:themeFillShade="D9"/>
            <w:vAlign w:val="center"/>
          </w:tcPr>
          <w:p w:rsidR="00303B1C" w:rsidRPr="00303B1C" w:rsidRDefault="00303B1C" w:rsidP="00D24366">
            <w:pPr>
              <w:ind w:left="108"/>
              <w:rPr>
                <w:rFonts w:cs="Arial"/>
                <w:color w:val="000000"/>
              </w:rPr>
            </w:pPr>
            <w:r w:rsidRPr="00303B1C">
              <w:rPr>
                <w:rFonts w:cs="Arial"/>
                <w:b/>
                <w:color w:val="000000" w:themeColor="text1"/>
              </w:rPr>
              <w:lastRenderedPageBreak/>
              <w:t>Behavioural Competencies</w:t>
            </w:r>
          </w:p>
        </w:tc>
      </w:tr>
      <w:tr w:rsidR="00303B1C" w:rsidRPr="00303B1C" w:rsidTr="00BE0476">
        <w:tblPrEx>
          <w:tblLook w:val="0000" w:firstRow="0" w:lastRow="0" w:firstColumn="0" w:lastColumn="0" w:noHBand="0" w:noVBand="0"/>
        </w:tblPrEx>
        <w:trPr>
          <w:trHeight w:val="2397"/>
        </w:trPr>
        <w:tc>
          <w:tcPr>
            <w:tcW w:w="9242" w:type="dxa"/>
            <w:gridSpan w:val="5"/>
          </w:tcPr>
          <w:p w:rsidR="00314B12" w:rsidRPr="0001058B" w:rsidRDefault="00314B12" w:rsidP="00D24366">
            <w:pPr>
              <w:rPr>
                <w:b/>
                <w:u w:val="single"/>
              </w:rPr>
            </w:pPr>
          </w:p>
          <w:p w:rsidR="008B008C" w:rsidRPr="0001058B" w:rsidRDefault="008B008C" w:rsidP="008B008C">
            <w:pPr>
              <w:rPr>
                <w:b/>
                <w:u w:val="single"/>
              </w:rPr>
            </w:pPr>
            <w:r w:rsidRPr="0001058B">
              <w:rPr>
                <w:b/>
                <w:u w:val="single"/>
              </w:rPr>
              <w:t>Building &amp; Managing Relationships</w:t>
            </w:r>
          </w:p>
          <w:p w:rsidR="008B008C" w:rsidRPr="0001058B" w:rsidRDefault="008B008C" w:rsidP="008B008C">
            <w:pPr>
              <w:rPr>
                <w:b/>
                <w:u w:val="single"/>
              </w:rPr>
            </w:pPr>
            <w:r w:rsidRPr="0001058B">
              <w:rPr>
                <w:rFonts w:cs="FoundryFormSans-Book"/>
                <w:lang w:eastAsia="en-GB"/>
              </w:rPr>
              <w:t>… is developing rapport and working effectively with a diverse range of people, sharing knowledge and skills to deliver shared goals.</w:t>
            </w:r>
          </w:p>
          <w:p w:rsidR="008B008C" w:rsidRPr="0001058B" w:rsidRDefault="008B008C" w:rsidP="008B008C">
            <w:pPr>
              <w:rPr>
                <w:b/>
                <w:u w:val="single"/>
              </w:rPr>
            </w:pPr>
          </w:p>
          <w:p w:rsidR="008B008C" w:rsidRPr="0001058B" w:rsidRDefault="008B008C" w:rsidP="008B008C">
            <w:pPr>
              <w:rPr>
                <w:b/>
                <w:u w:val="single"/>
              </w:rPr>
            </w:pPr>
            <w:r w:rsidRPr="0001058B">
              <w:rPr>
                <w:u w:val="single"/>
              </w:rPr>
              <w:t>Level 3 indicators of effective performance</w:t>
            </w:r>
          </w:p>
          <w:p w:rsidR="008B008C" w:rsidRPr="0001058B" w:rsidRDefault="008B008C" w:rsidP="008B00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Actively engages partners and encourages others to build relationships</w:t>
            </w:r>
          </w:p>
          <w:p w:rsidR="008B008C" w:rsidRPr="0001058B" w:rsidRDefault="008B008C" w:rsidP="008B008C">
            <w:pPr>
              <w:pStyle w:val="ListParagraph"/>
              <w:autoSpaceDE w:val="0"/>
              <w:autoSpaceDN w:val="0"/>
              <w:adjustRightInd w:val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that support </w:t>
            </w:r>
            <w:r w:rsidR="009707F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OPDC </w:t>
            </w: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objectives</w:t>
            </w:r>
          </w:p>
          <w:p w:rsidR="008B008C" w:rsidRPr="0001058B" w:rsidRDefault="008B008C" w:rsidP="008B00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Understands and recognises the contributions that staff at all levels make</w:t>
            </w:r>
          </w:p>
          <w:p w:rsidR="008B008C" w:rsidRPr="0001058B" w:rsidRDefault="008B008C" w:rsidP="008B008C">
            <w:pPr>
              <w:pStyle w:val="ListParagraph"/>
              <w:autoSpaceDE w:val="0"/>
              <w:autoSpaceDN w:val="0"/>
              <w:adjustRightInd w:val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to delivering priorities</w:t>
            </w:r>
          </w:p>
          <w:p w:rsidR="008B008C" w:rsidRPr="0001058B" w:rsidRDefault="008B008C" w:rsidP="008B00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Proactively manages partner relationships, preventing or resolving any</w:t>
            </w:r>
          </w:p>
          <w:p w:rsidR="008B008C" w:rsidRPr="0001058B" w:rsidRDefault="008B008C" w:rsidP="008B008C">
            <w:pPr>
              <w:pStyle w:val="ListParagraph"/>
              <w:autoSpaceDE w:val="0"/>
              <w:autoSpaceDN w:val="0"/>
              <w:adjustRightInd w:val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conflict</w:t>
            </w:r>
          </w:p>
          <w:p w:rsidR="008B008C" w:rsidRPr="0001058B" w:rsidRDefault="008B008C" w:rsidP="008B00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Adapts style to work effectively with partners, building consensus, trust</w:t>
            </w:r>
          </w:p>
          <w:p w:rsidR="008B008C" w:rsidRPr="0001058B" w:rsidRDefault="008B008C" w:rsidP="008B008C">
            <w:pPr>
              <w:pStyle w:val="ListParagraph"/>
              <w:autoSpaceDE w:val="0"/>
              <w:autoSpaceDN w:val="0"/>
              <w:adjustRightInd w:val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and respect</w:t>
            </w:r>
          </w:p>
          <w:p w:rsidR="008B008C" w:rsidRPr="0001058B" w:rsidRDefault="008B008C" w:rsidP="008B008C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Delivers objectives by bringing together diverse stakeholders to work</w:t>
            </w:r>
          </w:p>
          <w:p w:rsidR="008B008C" w:rsidRPr="0001058B" w:rsidRDefault="008B008C" w:rsidP="008B008C">
            <w:pPr>
              <w:pStyle w:val="ListParagraph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effectively in partnership</w:t>
            </w:r>
          </w:p>
          <w:p w:rsidR="005667B5" w:rsidRPr="0001058B" w:rsidRDefault="008B008C" w:rsidP="005667B5">
            <w:r w:rsidRPr="0001058B">
              <w:t xml:space="preserve"> </w:t>
            </w:r>
          </w:p>
          <w:p w:rsidR="00314B12" w:rsidRPr="0001058B" w:rsidRDefault="00314B12" w:rsidP="005667B5"/>
          <w:p w:rsidR="00DD467D" w:rsidRPr="0001058B" w:rsidRDefault="00DD467D" w:rsidP="00DD467D">
            <w:pPr>
              <w:rPr>
                <w:b/>
                <w:u w:val="single"/>
              </w:rPr>
            </w:pPr>
            <w:r w:rsidRPr="0001058B">
              <w:rPr>
                <w:b/>
                <w:u w:val="single"/>
              </w:rPr>
              <w:t>Communication &amp; Influencing</w:t>
            </w:r>
          </w:p>
          <w:p w:rsidR="00DD467D" w:rsidRPr="0001058B" w:rsidRDefault="00DD467D" w:rsidP="00DD467D">
            <w:pPr>
              <w:rPr>
                <w:b/>
                <w:u w:val="single"/>
              </w:rPr>
            </w:pPr>
            <w:r w:rsidRPr="0001058B">
              <w:rPr>
                <w:rFonts w:cs="FoundryFormSans-Book"/>
                <w:lang w:eastAsia="en-GB"/>
              </w:rPr>
              <w:t>… is presenting information and arguments clearly and convincingly so that others see us as credible and articulate, and engage with us.</w:t>
            </w:r>
          </w:p>
          <w:p w:rsidR="00DD467D" w:rsidRPr="0001058B" w:rsidRDefault="00DD467D" w:rsidP="00DD467D">
            <w:pPr>
              <w:rPr>
                <w:b/>
                <w:u w:val="single"/>
              </w:rPr>
            </w:pPr>
          </w:p>
          <w:p w:rsidR="00DD467D" w:rsidRPr="0001058B" w:rsidRDefault="00DD467D" w:rsidP="00DD467D">
            <w:pPr>
              <w:rPr>
                <w:b/>
                <w:u w:val="single"/>
              </w:rPr>
            </w:pPr>
            <w:r w:rsidRPr="0001058B">
              <w:rPr>
                <w:u w:val="single"/>
              </w:rPr>
              <w:t>Level 4 indicators of effective performance</w:t>
            </w:r>
          </w:p>
          <w:p w:rsidR="00DD467D" w:rsidRPr="0001058B" w:rsidRDefault="00DD467D" w:rsidP="00DD46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Articulates self with credibility and conviction, encouraging buy-in to</w:t>
            </w:r>
          </w:p>
          <w:p w:rsidR="00DD467D" w:rsidRPr="0001058B" w:rsidRDefault="00DD467D" w:rsidP="00DD467D">
            <w:pPr>
              <w:pStyle w:val="ListParagraph"/>
              <w:autoSpaceDE w:val="0"/>
              <w:autoSpaceDN w:val="0"/>
              <w:adjustRightInd w:val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corporate position</w:t>
            </w:r>
          </w:p>
          <w:p w:rsidR="00DD467D" w:rsidRPr="0001058B" w:rsidRDefault="00DD467D" w:rsidP="00DD46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Influences the thinking of other organisations, encouraging them to deliver</w:t>
            </w:r>
          </w:p>
          <w:p w:rsidR="00DD467D" w:rsidRPr="0001058B" w:rsidRDefault="00DD467D" w:rsidP="00DD467D">
            <w:pPr>
              <w:pStyle w:val="ListParagraph"/>
              <w:autoSpaceDE w:val="0"/>
              <w:autoSpaceDN w:val="0"/>
              <w:adjustRightInd w:val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in line with the</w:t>
            </w:r>
            <w:r w:rsidR="009707F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OPDC</w:t>
            </w:r>
          </w:p>
          <w:p w:rsidR="00DD467D" w:rsidRPr="0001058B" w:rsidRDefault="00DD467D" w:rsidP="00DD46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Ensures that the organisation communicates inclusively with staff and</w:t>
            </w:r>
          </w:p>
          <w:p w:rsidR="00DD467D" w:rsidRPr="0001058B" w:rsidRDefault="00DD467D" w:rsidP="00DD467D">
            <w:pPr>
              <w:pStyle w:val="ListParagraph"/>
              <w:autoSpaceDE w:val="0"/>
              <w:autoSpaceDN w:val="0"/>
              <w:adjustRightInd w:val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external stakeholders</w:t>
            </w:r>
          </w:p>
          <w:p w:rsidR="00DD467D" w:rsidRDefault="00DD467D" w:rsidP="00DD46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Acts as a credible and convincing spokesperson and negotiator for the </w:t>
            </w:r>
            <w:r w:rsidR="009707F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OPDC</w:t>
            </w:r>
          </w:p>
          <w:p w:rsidR="00DD467D" w:rsidRPr="0001058B" w:rsidRDefault="00DD467D" w:rsidP="00DD46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Instils a corporate commitment to accessible communication</w:t>
            </w:r>
          </w:p>
          <w:p w:rsidR="005667B5" w:rsidRPr="0001058B" w:rsidRDefault="005667B5" w:rsidP="005667B5"/>
          <w:p w:rsidR="005667B5" w:rsidRPr="0001058B" w:rsidRDefault="005667B5" w:rsidP="005667B5">
            <w:pPr>
              <w:rPr>
                <w:u w:val="single"/>
              </w:rPr>
            </w:pPr>
          </w:p>
          <w:p w:rsidR="005667B5" w:rsidRPr="0001058B" w:rsidRDefault="005667B5" w:rsidP="005667B5">
            <w:pPr>
              <w:keepNext/>
              <w:outlineLvl w:val="4"/>
              <w:rPr>
                <w:b/>
                <w:bCs/>
              </w:rPr>
            </w:pPr>
            <w:r w:rsidRPr="0001058B">
              <w:rPr>
                <w:b/>
                <w:bCs/>
              </w:rPr>
              <w:t>Decision making</w:t>
            </w:r>
          </w:p>
          <w:p w:rsidR="005667B5" w:rsidRPr="0001058B" w:rsidRDefault="005667B5" w:rsidP="005667B5">
            <w:r w:rsidRPr="0001058B">
              <w:t xml:space="preserve">…is forming sound, evidence-based judgements, making choices, assessing risks to delivery, and taking accountability for results.  </w:t>
            </w:r>
          </w:p>
          <w:p w:rsidR="005667B5" w:rsidRPr="0001058B" w:rsidRDefault="005667B5" w:rsidP="005667B5"/>
          <w:p w:rsidR="005667B5" w:rsidRPr="0001058B" w:rsidRDefault="00BB0B94" w:rsidP="005667B5">
            <w:pPr>
              <w:rPr>
                <w:u w:val="single"/>
              </w:rPr>
            </w:pPr>
            <w:r>
              <w:rPr>
                <w:u w:val="single"/>
              </w:rPr>
              <w:t xml:space="preserve">Level 3 </w:t>
            </w:r>
            <w:r w:rsidR="005667B5" w:rsidRPr="0001058B">
              <w:rPr>
                <w:u w:val="single"/>
              </w:rPr>
              <w:t>indicators of effective performance</w:t>
            </w:r>
          </w:p>
          <w:p w:rsidR="005667B5" w:rsidRPr="0001058B" w:rsidRDefault="005667B5" w:rsidP="005667B5">
            <w:pPr>
              <w:numPr>
                <w:ilvl w:val="0"/>
                <w:numId w:val="10"/>
              </w:numPr>
              <w:ind w:right="113"/>
            </w:pPr>
            <w:r w:rsidRPr="0001058B">
              <w:rPr>
                <w:bCs/>
              </w:rPr>
              <w:t>Makes sound decisions quickly on behalf of the OPDC when a situation requires intervention</w:t>
            </w:r>
          </w:p>
          <w:p w:rsidR="005667B5" w:rsidRPr="0001058B" w:rsidRDefault="005667B5" w:rsidP="005667B5">
            <w:pPr>
              <w:numPr>
                <w:ilvl w:val="0"/>
                <w:numId w:val="10"/>
              </w:numPr>
              <w:ind w:right="113"/>
            </w:pPr>
            <w:r w:rsidRPr="0001058B">
              <w:rPr>
                <w:bCs/>
              </w:rPr>
              <w:t>Takes responsibility for team decisions, providing rationale when those decisions are questioned</w:t>
            </w:r>
          </w:p>
          <w:p w:rsidR="005667B5" w:rsidRPr="0001058B" w:rsidRDefault="005667B5" w:rsidP="005667B5">
            <w:pPr>
              <w:numPr>
                <w:ilvl w:val="0"/>
                <w:numId w:val="10"/>
              </w:numPr>
              <w:ind w:right="113"/>
            </w:pPr>
            <w:r w:rsidRPr="0001058B">
              <w:rPr>
                <w:bCs/>
              </w:rPr>
              <w:t>Involves senior stakeholders early in decisions that impact them</w:t>
            </w:r>
          </w:p>
          <w:p w:rsidR="005667B5" w:rsidRPr="0001058B" w:rsidRDefault="005667B5" w:rsidP="005667B5">
            <w:pPr>
              <w:numPr>
                <w:ilvl w:val="0"/>
                <w:numId w:val="10"/>
              </w:numPr>
              <w:ind w:right="113"/>
            </w:pPr>
            <w:r w:rsidRPr="0001058B">
              <w:rPr>
                <w:bCs/>
              </w:rPr>
              <w:t xml:space="preserve">Analyses organisational risks associated with decisions, including those with long term impacts, before committing to action </w:t>
            </w:r>
          </w:p>
          <w:p w:rsidR="005667B5" w:rsidRPr="0001058B" w:rsidRDefault="005667B5" w:rsidP="005667B5">
            <w:pPr>
              <w:numPr>
                <w:ilvl w:val="0"/>
                <w:numId w:val="10"/>
              </w:numPr>
              <w:ind w:right="113"/>
            </w:pPr>
            <w:r w:rsidRPr="0001058B">
              <w:rPr>
                <w:bCs/>
              </w:rPr>
              <w:t>Encourages others in the team to make decisions in their own area of expertise, take appropriate risks and learn from experience</w:t>
            </w:r>
          </w:p>
          <w:p w:rsidR="00314B12" w:rsidRDefault="00314B12" w:rsidP="005667B5">
            <w:pPr>
              <w:keepNext/>
              <w:outlineLvl w:val="4"/>
              <w:rPr>
                <w:b/>
                <w:bCs/>
              </w:rPr>
            </w:pPr>
          </w:p>
          <w:p w:rsidR="00BE0476" w:rsidRDefault="00BE0476" w:rsidP="005667B5">
            <w:pPr>
              <w:keepNext/>
              <w:outlineLvl w:val="4"/>
              <w:rPr>
                <w:b/>
                <w:bCs/>
              </w:rPr>
            </w:pPr>
          </w:p>
          <w:p w:rsidR="005667B5" w:rsidRPr="0001058B" w:rsidRDefault="005667B5" w:rsidP="005667B5">
            <w:pPr>
              <w:keepNext/>
              <w:outlineLvl w:val="4"/>
              <w:rPr>
                <w:b/>
                <w:bCs/>
              </w:rPr>
            </w:pPr>
            <w:r w:rsidRPr="0001058B">
              <w:rPr>
                <w:b/>
                <w:bCs/>
              </w:rPr>
              <w:t>O</w:t>
            </w:r>
            <w:r w:rsidR="00656403">
              <w:rPr>
                <w:b/>
                <w:bCs/>
              </w:rPr>
              <w:t>perational</w:t>
            </w:r>
            <w:r w:rsidRPr="0001058B">
              <w:rPr>
                <w:b/>
                <w:bCs/>
              </w:rPr>
              <w:t xml:space="preserve"> awareness</w:t>
            </w:r>
          </w:p>
          <w:p w:rsidR="005667B5" w:rsidRPr="0001058B" w:rsidRDefault="005667B5" w:rsidP="005667B5">
            <w:r w:rsidRPr="0001058B">
              <w:t xml:space="preserve">…is understanding and being sensitive to organisational dynamics, culture and politics across and beyond the OPDC and shaping our approach accordingly.  </w:t>
            </w:r>
          </w:p>
          <w:p w:rsidR="005667B5" w:rsidRPr="0001058B" w:rsidRDefault="005667B5" w:rsidP="005667B5"/>
          <w:p w:rsidR="00C86B65" w:rsidRPr="0001058B" w:rsidRDefault="00C86B65" w:rsidP="00C86B65">
            <w:pPr>
              <w:rPr>
                <w:u w:val="single"/>
              </w:rPr>
            </w:pPr>
            <w:r>
              <w:rPr>
                <w:u w:val="single"/>
              </w:rPr>
              <w:t xml:space="preserve">Level 3 </w:t>
            </w:r>
            <w:r w:rsidRPr="0001058B">
              <w:rPr>
                <w:u w:val="single"/>
              </w:rPr>
              <w:t>indicators of effective performance</w:t>
            </w:r>
          </w:p>
          <w:p w:rsidR="005667B5" w:rsidRPr="0001058B" w:rsidRDefault="005667B5" w:rsidP="005667B5"/>
          <w:p w:rsidR="005667B5" w:rsidRPr="0001058B" w:rsidRDefault="005667B5" w:rsidP="005667B5">
            <w:pPr>
              <w:numPr>
                <w:ilvl w:val="0"/>
                <w:numId w:val="11"/>
              </w:numPr>
            </w:pPr>
            <w:r w:rsidRPr="0001058B">
              <w:t>Uses</w:t>
            </w:r>
            <w:r w:rsidRPr="0001058B">
              <w:rPr>
                <w:b/>
                <w:bCs/>
              </w:rPr>
              <w:t xml:space="preserve"> </w:t>
            </w:r>
            <w:r w:rsidRPr="0001058B">
              <w:rPr>
                <w:bCs/>
              </w:rPr>
              <w:t>understanding of differences between the OPDC and its partners to improve working relationships</w:t>
            </w:r>
          </w:p>
          <w:p w:rsidR="005667B5" w:rsidRPr="0001058B" w:rsidRDefault="005667B5" w:rsidP="005667B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01058B">
              <w:t>Helps</w:t>
            </w:r>
            <w:r w:rsidRPr="0001058B">
              <w:rPr>
                <w:bCs/>
              </w:rPr>
              <w:t xml:space="preserve"> others understand the OPDC and the complex environment in which it operates</w:t>
            </w:r>
          </w:p>
          <w:p w:rsidR="005667B5" w:rsidRPr="0001058B" w:rsidRDefault="005667B5" w:rsidP="005667B5">
            <w:pPr>
              <w:numPr>
                <w:ilvl w:val="0"/>
                <w:numId w:val="11"/>
              </w:numPr>
              <w:rPr>
                <w:bCs/>
              </w:rPr>
            </w:pPr>
            <w:r w:rsidRPr="0001058B">
              <w:rPr>
                <w:bCs/>
              </w:rPr>
              <w:t xml:space="preserve">Translates changing political agendas into tangible actions </w:t>
            </w:r>
          </w:p>
          <w:p w:rsidR="005667B5" w:rsidRPr="0001058B" w:rsidRDefault="005667B5" w:rsidP="005667B5">
            <w:pPr>
              <w:numPr>
                <w:ilvl w:val="0"/>
                <w:numId w:val="11"/>
              </w:numPr>
              <w:rPr>
                <w:b/>
                <w:bCs/>
              </w:rPr>
            </w:pPr>
            <w:r w:rsidRPr="0001058B">
              <w:rPr>
                <w:bCs/>
              </w:rPr>
              <w:t>Considers the diverse needs of Londoners in formulating OPDC objectives</w:t>
            </w:r>
          </w:p>
          <w:p w:rsidR="005667B5" w:rsidRPr="0001058B" w:rsidRDefault="005667B5" w:rsidP="005667B5">
            <w:pPr>
              <w:numPr>
                <w:ilvl w:val="0"/>
                <w:numId w:val="11"/>
              </w:numPr>
              <w:rPr>
                <w:bCs/>
              </w:rPr>
            </w:pPr>
            <w:r w:rsidRPr="0001058B">
              <w:rPr>
                <w:bCs/>
              </w:rPr>
              <w:t xml:space="preserve">Helps others understand how the media and external perceptions of the OPDC influence work </w:t>
            </w:r>
          </w:p>
          <w:p w:rsidR="005667B5" w:rsidRPr="0001058B" w:rsidRDefault="005667B5" w:rsidP="005667B5">
            <w:pPr>
              <w:ind w:left="360"/>
              <w:rPr>
                <w:u w:val="single"/>
              </w:rPr>
            </w:pPr>
          </w:p>
          <w:p w:rsidR="00314B12" w:rsidRPr="0001058B" w:rsidRDefault="00314B12" w:rsidP="005667B5">
            <w:pPr>
              <w:keepNext/>
              <w:outlineLvl w:val="4"/>
              <w:rPr>
                <w:b/>
                <w:bCs/>
              </w:rPr>
            </w:pPr>
          </w:p>
          <w:p w:rsidR="00DD467D" w:rsidRPr="0001058B" w:rsidRDefault="00DD467D" w:rsidP="00DD467D">
            <w:pPr>
              <w:rPr>
                <w:b/>
                <w:u w:val="single"/>
              </w:rPr>
            </w:pPr>
            <w:r w:rsidRPr="0001058B">
              <w:rPr>
                <w:b/>
                <w:u w:val="single"/>
              </w:rPr>
              <w:t>Problem Solving</w:t>
            </w:r>
          </w:p>
          <w:p w:rsidR="00DD467D" w:rsidRPr="0001058B" w:rsidRDefault="00DD467D" w:rsidP="00DD467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… is analysing and interpreting situations from a variety of viewpoints and finding creative, workable and timely solutions.</w:t>
            </w:r>
          </w:p>
          <w:p w:rsidR="00DD467D" w:rsidRPr="0001058B" w:rsidRDefault="00DD467D" w:rsidP="00DD467D">
            <w:pPr>
              <w:rPr>
                <w:b/>
                <w:u w:val="single"/>
              </w:rPr>
            </w:pPr>
          </w:p>
          <w:p w:rsidR="00DD467D" w:rsidRPr="0001058B" w:rsidRDefault="00DD467D" w:rsidP="00DD467D">
            <w:pPr>
              <w:rPr>
                <w:rFonts w:cs="FoundryFormSans-Book"/>
                <w:lang w:eastAsia="en-GB"/>
              </w:rPr>
            </w:pPr>
            <w:r w:rsidRPr="0001058B">
              <w:rPr>
                <w:u w:val="single"/>
              </w:rPr>
              <w:t>Level 4 indicators of effective performance</w:t>
            </w:r>
          </w:p>
          <w:p w:rsidR="00DD467D" w:rsidRPr="0001058B" w:rsidRDefault="00DD467D" w:rsidP="00DD46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Seeks multiple perspectives to understand the breadth and depth of</w:t>
            </w:r>
          </w:p>
          <w:p w:rsidR="00DD467D" w:rsidRPr="0001058B" w:rsidRDefault="00DD467D" w:rsidP="00DD467D">
            <w:pPr>
              <w:pStyle w:val="ListParagraph"/>
              <w:autoSpaceDE w:val="0"/>
              <w:autoSpaceDN w:val="0"/>
              <w:adjustRightInd w:val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complex issues</w:t>
            </w:r>
          </w:p>
          <w:p w:rsidR="00DD467D" w:rsidRPr="0001058B" w:rsidRDefault="00DD467D" w:rsidP="00DD46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Produces strategies to solve organisation-wide problems, considering the</w:t>
            </w:r>
          </w:p>
          <w:p w:rsidR="00DD467D" w:rsidRPr="0001058B" w:rsidRDefault="00DD467D" w:rsidP="00DD467D">
            <w:pPr>
              <w:pStyle w:val="ListParagraph"/>
              <w:autoSpaceDE w:val="0"/>
              <w:autoSpaceDN w:val="0"/>
              <w:adjustRightInd w:val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practical and political concerns associated with the implementation of</w:t>
            </w:r>
          </w:p>
          <w:p w:rsidR="00DD467D" w:rsidRPr="0001058B" w:rsidRDefault="00DD467D" w:rsidP="00DD467D">
            <w:pPr>
              <w:pStyle w:val="ListParagraph"/>
              <w:autoSpaceDE w:val="0"/>
              <w:autoSpaceDN w:val="0"/>
              <w:adjustRightInd w:val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solutions</w:t>
            </w:r>
          </w:p>
          <w:p w:rsidR="00DD467D" w:rsidRPr="0001058B" w:rsidRDefault="00DD467D" w:rsidP="00DD46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Enables the </w:t>
            </w:r>
            <w:r w:rsidR="009707F6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OPDC</w:t>
            </w: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to continuously improve and innovate in the long term</w:t>
            </w:r>
          </w:p>
          <w:p w:rsidR="00DD467D" w:rsidRPr="0001058B" w:rsidRDefault="00DD467D" w:rsidP="00DD46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Problem solves jointly with others to stimulate innovation</w:t>
            </w:r>
          </w:p>
          <w:p w:rsidR="00DD467D" w:rsidRPr="0001058B" w:rsidRDefault="00DD467D" w:rsidP="00DD46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Turns ambiguous or difficult situations into opportunities</w:t>
            </w:r>
          </w:p>
          <w:p w:rsidR="00C86B65" w:rsidRDefault="00C86B65" w:rsidP="005667B5">
            <w:pPr>
              <w:keepNext/>
              <w:outlineLvl w:val="4"/>
              <w:rPr>
                <w:b/>
                <w:bCs/>
              </w:rPr>
            </w:pPr>
          </w:p>
          <w:p w:rsidR="00C86B65" w:rsidRPr="0001058B" w:rsidRDefault="00C86B65" w:rsidP="005667B5">
            <w:pPr>
              <w:keepNext/>
              <w:outlineLvl w:val="4"/>
              <w:rPr>
                <w:b/>
                <w:bCs/>
              </w:rPr>
            </w:pPr>
          </w:p>
          <w:p w:rsidR="00DD467D" w:rsidRPr="0001058B" w:rsidRDefault="00DD467D" w:rsidP="00DD467D">
            <w:pPr>
              <w:rPr>
                <w:b/>
                <w:u w:val="single"/>
              </w:rPr>
            </w:pPr>
            <w:r w:rsidRPr="0001058B">
              <w:rPr>
                <w:b/>
                <w:u w:val="single"/>
              </w:rPr>
              <w:t>Planning &amp; Organising</w:t>
            </w:r>
          </w:p>
          <w:p w:rsidR="00DD467D" w:rsidRPr="0001058B" w:rsidRDefault="00DD467D" w:rsidP="00DD467D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… is thinking ahead, managing time, priorities and risk, and developing structured and efficient approaches to deliver work on time and to a high standard.</w:t>
            </w:r>
          </w:p>
          <w:p w:rsidR="00DD467D" w:rsidRPr="0001058B" w:rsidRDefault="00DD467D" w:rsidP="00DD467D">
            <w:pPr>
              <w:rPr>
                <w:b/>
                <w:u w:val="single"/>
              </w:rPr>
            </w:pPr>
          </w:p>
          <w:p w:rsidR="00DD467D" w:rsidRPr="0001058B" w:rsidRDefault="00DD467D" w:rsidP="00DD467D">
            <w:pPr>
              <w:rPr>
                <w:rFonts w:cs="FoundryFormSans-Book"/>
                <w:lang w:eastAsia="en-GB"/>
              </w:rPr>
            </w:pPr>
            <w:r w:rsidRPr="0001058B">
              <w:rPr>
                <w:u w:val="single"/>
              </w:rPr>
              <w:t>Level 4 indicators of effective performance</w:t>
            </w:r>
          </w:p>
          <w:p w:rsidR="00DD467D" w:rsidRPr="0001058B" w:rsidRDefault="00DD467D" w:rsidP="00DD46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Takes accountability for monitoring delivery of the</w:t>
            </w:r>
            <w:r w:rsidR="0001058B"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OPDC’S</w:t>
            </w: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commitments</w:t>
            </w:r>
          </w:p>
          <w:p w:rsidR="00DD467D" w:rsidRPr="0001058B" w:rsidRDefault="00DD467D" w:rsidP="00DD46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Uses quality assurance processes across the organisation as a feedback</w:t>
            </w:r>
          </w:p>
          <w:p w:rsidR="00DD467D" w:rsidRPr="0001058B" w:rsidRDefault="00DD467D" w:rsidP="00DD467D">
            <w:pPr>
              <w:pStyle w:val="ListParagraph"/>
              <w:autoSpaceDE w:val="0"/>
              <w:autoSpaceDN w:val="0"/>
              <w:adjustRightInd w:val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mechanism to improve performance</w:t>
            </w:r>
          </w:p>
          <w:p w:rsidR="00DD467D" w:rsidRPr="0001058B" w:rsidRDefault="00DD467D" w:rsidP="00DD46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Takes responsibility for ensuring tools and techniques are available for the</w:t>
            </w:r>
          </w:p>
          <w:p w:rsidR="00DD467D" w:rsidRPr="0001058B" w:rsidRDefault="00DD467D" w:rsidP="00DD467D">
            <w:pPr>
              <w:pStyle w:val="ListParagraph"/>
              <w:autoSpaceDE w:val="0"/>
              <w:autoSpaceDN w:val="0"/>
              <w:adjustRightInd w:val="0"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effective management of programmes</w:t>
            </w:r>
          </w:p>
          <w:p w:rsidR="00DD467D" w:rsidRPr="0001058B" w:rsidRDefault="00DD467D" w:rsidP="00DD46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Realigns</w:t>
            </w:r>
            <w:r w:rsidR="0001058B"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OPDC </w:t>
            </w: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objectives to respond to changing external &amp; internal agendas</w:t>
            </w:r>
          </w:p>
          <w:p w:rsidR="00DD467D" w:rsidRPr="0001058B" w:rsidRDefault="00DD467D" w:rsidP="00DD467D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</w:pP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Uses feedback from all sectors as a performance measure for </w:t>
            </w:r>
            <w:r w:rsidR="0001058B"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>OPDC</w:t>
            </w:r>
            <w:r w:rsidRPr="0001058B">
              <w:rPr>
                <w:rFonts w:ascii="Foundry Form Sans" w:hAnsi="Foundry Form Sans" w:cs="FoundryFormSans-Book"/>
                <w:sz w:val="24"/>
                <w:szCs w:val="24"/>
                <w:lang w:eastAsia="en-GB"/>
              </w:rPr>
              <w:t xml:space="preserve"> work</w:t>
            </w:r>
          </w:p>
          <w:p w:rsidR="00BE0476" w:rsidRDefault="00BE0476" w:rsidP="0001058B">
            <w:pPr>
              <w:keepNext/>
              <w:outlineLvl w:val="3"/>
              <w:rPr>
                <w:b/>
              </w:rPr>
            </w:pPr>
          </w:p>
          <w:p w:rsidR="00BE0476" w:rsidRDefault="00BE0476" w:rsidP="0001058B">
            <w:pPr>
              <w:keepNext/>
              <w:outlineLvl w:val="3"/>
              <w:rPr>
                <w:b/>
              </w:rPr>
            </w:pPr>
          </w:p>
          <w:p w:rsidR="00BE0476" w:rsidRDefault="00BE0476" w:rsidP="0001058B">
            <w:pPr>
              <w:keepNext/>
              <w:outlineLvl w:val="3"/>
              <w:rPr>
                <w:b/>
              </w:rPr>
            </w:pPr>
          </w:p>
          <w:p w:rsidR="00BE0476" w:rsidRDefault="00BE0476" w:rsidP="0001058B">
            <w:pPr>
              <w:keepNext/>
              <w:outlineLvl w:val="3"/>
              <w:rPr>
                <w:b/>
              </w:rPr>
            </w:pPr>
          </w:p>
          <w:p w:rsidR="00BE0476" w:rsidRDefault="00BE0476" w:rsidP="0001058B">
            <w:pPr>
              <w:keepNext/>
              <w:outlineLvl w:val="3"/>
              <w:rPr>
                <w:b/>
              </w:rPr>
            </w:pPr>
          </w:p>
          <w:p w:rsidR="005667B5" w:rsidRPr="0001058B" w:rsidRDefault="005667B5" w:rsidP="005667B5">
            <w:pPr>
              <w:ind w:right="113"/>
              <w:rPr>
                <w:b/>
              </w:rPr>
            </w:pPr>
            <w:r w:rsidRPr="0001058B">
              <w:rPr>
                <w:b/>
              </w:rPr>
              <w:lastRenderedPageBreak/>
              <w:t>Strategic thinking</w:t>
            </w:r>
          </w:p>
          <w:p w:rsidR="005667B5" w:rsidRPr="0001058B" w:rsidRDefault="005667B5" w:rsidP="005667B5">
            <w:pPr>
              <w:ind w:right="113"/>
              <w:rPr>
                <w:bCs/>
              </w:rPr>
            </w:pPr>
            <w:r w:rsidRPr="0001058B">
              <w:rPr>
                <w:bCs/>
              </w:rPr>
              <w:t xml:space="preserve">…is using an understanding of the bigger picture to uncover potential challenges and opportunities for the long term and turning these into a compelling vision for action. </w:t>
            </w:r>
          </w:p>
          <w:p w:rsidR="005667B5" w:rsidRPr="0001058B" w:rsidRDefault="005667B5" w:rsidP="005667B5"/>
          <w:p w:rsidR="00C86B65" w:rsidRPr="0001058B" w:rsidRDefault="00C86B65" w:rsidP="00C86B65">
            <w:pPr>
              <w:rPr>
                <w:u w:val="single"/>
              </w:rPr>
            </w:pPr>
            <w:r>
              <w:rPr>
                <w:u w:val="single"/>
              </w:rPr>
              <w:t xml:space="preserve">Level 3 </w:t>
            </w:r>
            <w:r w:rsidRPr="0001058B">
              <w:rPr>
                <w:u w:val="single"/>
              </w:rPr>
              <w:t>indicators of effective performance</w:t>
            </w:r>
          </w:p>
          <w:p w:rsidR="005667B5" w:rsidRPr="0001058B" w:rsidRDefault="005667B5" w:rsidP="00A825F7">
            <w:pPr>
              <w:ind w:left="691" w:right="113"/>
              <w:rPr>
                <w:bCs/>
              </w:rPr>
            </w:pPr>
            <w:r w:rsidRPr="0001058B">
              <w:rPr>
                <w:bCs/>
              </w:rPr>
              <w:t>Translates OPDC vision and strategy into practical and tangible plans for own team or delivery partners</w:t>
            </w:r>
          </w:p>
          <w:p w:rsidR="005667B5" w:rsidRPr="0001058B" w:rsidRDefault="005667B5" w:rsidP="005667B5">
            <w:pPr>
              <w:numPr>
                <w:ilvl w:val="0"/>
                <w:numId w:val="12"/>
              </w:numPr>
              <w:ind w:right="113"/>
            </w:pPr>
            <w:r w:rsidRPr="0001058B">
              <w:rPr>
                <w:bCs/>
              </w:rPr>
              <w:t>Consistently takes account of the wider implications of team’s actions for the OPDC</w:t>
            </w:r>
          </w:p>
          <w:p w:rsidR="005667B5" w:rsidRPr="0001058B" w:rsidRDefault="005667B5" w:rsidP="005667B5">
            <w:pPr>
              <w:numPr>
                <w:ilvl w:val="0"/>
                <w:numId w:val="12"/>
              </w:numPr>
              <w:ind w:right="113"/>
            </w:pPr>
            <w:r w:rsidRPr="0001058B">
              <w:rPr>
                <w:bCs/>
              </w:rPr>
              <w:t>Encourages self and others to think about organisation’s long term potential</w:t>
            </w:r>
          </w:p>
          <w:p w:rsidR="005667B5" w:rsidRPr="0001058B" w:rsidRDefault="005667B5" w:rsidP="005667B5">
            <w:pPr>
              <w:numPr>
                <w:ilvl w:val="0"/>
                <w:numId w:val="12"/>
              </w:numPr>
              <w:ind w:right="113"/>
            </w:pPr>
            <w:r w:rsidRPr="0001058B">
              <w:rPr>
                <w:bCs/>
              </w:rPr>
              <w:t>Informs strategy development by identifying gaps in current delivery or evidence</w:t>
            </w:r>
          </w:p>
          <w:p w:rsidR="00303B1C" w:rsidRPr="00CB5B06" w:rsidRDefault="005667B5" w:rsidP="00D24366">
            <w:pPr>
              <w:numPr>
                <w:ilvl w:val="0"/>
                <w:numId w:val="12"/>
              </w:numPr>
              <w:ind w:right="113"/>
              <w:rPr>
                <w:b/>
                <w:bCs/>
              </w:rPr>
            </w:pPr>
            <w:r w:rsidRPr="0001058B">
              <w:rPr>
                <w:bCs/>
              </w:rPr>
              <w:t>Takes account of a wide range of public and partner needs to inform team’s work</w:t>
            </w:r>
          </w:p>
        </w:tc>
      </w:tr>
    </w:tbl>
    <w:p w:rsidR="00AF22A0" w:rsidRDefault="00AF22A0" w:rsidP="00AF22A0"/>
    <w:p w:rsidR="00FE2904" w:rsidRDefault="00FE2904" w:rsidP="00AF22A0"/>
    <w:p w:rsidR="00491EBE" w:rsidRPr="00AF22A0" w:rsidRDefault="00491EBE" w:rsidP="00AF22A0"/>
    <w:sectPr w:rsidR="00491EBE" w:rsidRPr="00AF22A0" w:rsidSect="00AF22A0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3B" w:rsidRDefault="0067523B" w:rsidP="00D24366">
      <w:r>
        <w:separator/>
      </w:r>
    </w:p>
  </w:endnote>
  <w:endnote w:type="continuationSeparator" w:id="0">
    <w:p w:rsidR="0067523B" w:rsidRDefault="0067523B" w:rsidP="00D243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undry Form Sans">
    <w:panose1 w:val="02000503050000020004"/>
    <w:charset w:val="00"/>
    <w:family w:val="auto"/>
    <w:pitch w:val="variable"/>
    <w:sig w:usb0="800000A7" w:usb1="0000004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oundryFormSans-Book">
    <w:altName w:val="Arial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3B" w:rsidRDefault="0067523B" w:rsidP="00D24366">
      <w:r>
        <w:separator/>
      </w:r>
    </w:p>
  </w:footnote>
  <w:footnote w:type="continuationSeparator" w:id="0">
    <w:p w:rsidR="0067523B" w:rsidRDefault="0067523B" w:rsidP="00D243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366" w:rsidRDefault="00C44742">
    <w:pPr>
      <w:pStyle w:val="Header"/>
    </w:pPr>
    <w:r w:rsidRPr="002F78FB">
      <w:rPr>
        <w:noProof/>
      </w:rPr>
      <w:drawing>
        <wp:inline distT="0" distB="0" distL="0" distR="0" wp14:anchorId="55E91A20" wp14:editId="6A9C1C2F">
          <wp:extent cx="1097280" cy="605667"/>
          <wp:effectExtent l="0" t="0" r="7620" b="4445"/>
          <wp:docPr id="2" name="Picture 2" descr="\\profileshare3\rdrfoldersK-P\kpassley\Desktop\committed_to_being_an_inclusive_employer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rofileshare3\rdrfoldersK-P\kpassley\Desktop\committed_to_being_an_inclusive_employer_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4406" cy="62615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24366">
      <w:tab/>
    </w:r>
    <w:r w:rsidR="00D24366">
      <w:tab/>
    </w:r>
    <w:r w:rsidR="00D24366">
      <w:rPr>
        <w:b/>
        <w:noProof/>
        <w:color w:val="BFBFBF"/>
        <w:sz w:val="28"/>
        <w:szCs w:val="28"/>
        <w:lang w:eastAsia="en-GB"/>
      </w:rPr>
      <w:drawing>
        <wp:inline distT="0" distB="0" distL="0" distR="0" wp14:anchorId="60B1B30A" wp14:editId="1C2E5E27">
          <wp:extent cx="866775" cy="627665"/>
          <wp:effectExtent l="0" t="0" r="0" b="1270"/>
          <wp:docPr id="1" name="Picture 1" descr="opdc log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pdc logo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2209" cy="63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91C72"/>
    <w:multiLevelType w:val="hybridMultilevel"/>
    <w:tmpl w:val="A4DCFC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6132"/>
    <w:multiLevelType w:val="hybridMultilevel"/>
    <w:tmpl w:val="F93296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BF0B80"/>
    <w:multiLevelType w:val="hybridMultilevel"/>
    <w:tmpl w:val="AE6C02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B103B"/>
    <w:multiLevelType w:val="hybridMultilevel"/>
    <w:tmpl w:val="259C22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FA54264"/>
    <w:multiLevelType w:val="hybridMultilevel"/>
    <w:tmpl w:val="934A0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246AB"/>
    <w:multiLevelType w:val="hybridMultilevel"/>
    <w:tmpl w:val="ACA489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F96466"/>
    <w:multiLevelType w:val="hybridMultilevel"/>
    <w:tmpl w:val="D8945D4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7975AA7"/>
    <w:multiLevelType w:val="hybridMultilevel"/>
    <w:tmpl w:val="F394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B514D8"/>
    <w:multiLevelType w:val="hybridMultilevel"/>
    <w:tmpl w:val="BD0E7368"/>
    <w:lvl w:ilvl="0" w:tplc="D158D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53603FEF"/>
    <w:multiLevelType w:val="hybridMultilevel"/>
    <w:tmpl w:val="0636B3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D3C6D"/>
    <w:multiLevelType w:val="hybridMultilevel"/>
    <w:tmpl w:val="B65A1D98"/>
    <w:lvl w:ilvl="0" w:tplc="0A640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9A6776"/>
    <w:multiLevelType w:val="hybridMultilevel"/>
    <w:tmpl w:val="D334F0AC"/>
    <w:lvl w:ilvl="0" w:tplc="0A6402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51773"/>
    <w:multiLevelType w:val="hybridMultilevel"/>
    <w:tmpl w:val="7E8E6A7A"/>
    <w:lvl w:ilvl="0" w:tplc="0A640282">
      <w:start w:val="1"/>
      <w:numFmt w:val="bullet"/>
      <w:lvlText w:val=""/>
      <w:lvlJc w:val="left"/>
      <w:pPr>
        <w:tabs>
          <w:tab w:val="num" w:pos="691"/>
        </w:tabs>
        <w:ind w:left="6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1"/>
        </w:tabs>
        <w:ind w:left="14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1"/>
        </w:tabs>
        <w:ind w:left="21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1"/>
        </w:tabs>
        <w:ind w:left="28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1"/>
        </w:tabs>
        <w:ind w:left="35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1"/>
        </w:tabs>
        <w:ind w:left="42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1"/>
        </w:tabs>
        <w:ind w:left="50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1"/>
        </w:tabs>
        <w:ind w:left="57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1"/>
        </w:tabs>
        <w:ind w:left="6451" w:hanging="360"/>
      </w:pPr>
      <w:rPr>
        <w:rFonts w:ascii="Wingdings" w:hAnsi="Wingdings" w:hint="default"/>
      </w:rPr>
    </w:lvl>
  </w:abstractNum>
  <w:abstractNum w:abstractNumId="13" w15:restartNumberingAfterBreak="0">
    <w:nsid w:val="7F5F39C9"/>
    <w:multiLevelType w:val="hybridMultilevel"/>
    <w:tmpl w:val="0D803F4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6"/>
  </w:num>
  <w:num w:numId="6">
    <w:abstractNumId w:val="1"/>
  </w:num>
  <w:num w:numId="7">
    <w:abstractNumId w:val="2"/>
  </w:num>
  <w:num w:numId="8">
    <w:abstractNumId w:val="5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1C"/>
    <w:rsid w:val="0001058B"/>
    <w:rsid w:val="000136B9"/>
    <w:rsid w:val="00140C76"/>
    <w:rsid w:val="00182827"/>
    <w:rsid w:val="0018757C"/>
    <w:rsid w:val="001B4A03"/>
    <w:rsid w:val="00212DAE"/>
    <w:rsid w:val="00234D36"/>
    <w:rsid w:val="002D4749"/>
    <w:rsid w:val="002E66FC"/>
    <w:rsid w:val="00303B1C"/>
    <w:rsid w:val="00314B12"/>
    <w:rsid w:val="0035694F"/>
    <w:rsid w:val="003C32A8"/>
    <w:rsid w:val="003F56A6"/>
    <w:rsid w:val="003F5E48"/>
    <w:rsid w:val="00412264"/>
    <w:rsid w:val="0043224F"/>
    <w:rsid w:val="004540AE"/>
    <w:rsid w:val="00464B17"/>
    <w:rsid w:val="00491EBE"/>
    <w:rsid w:val="004D7EBA"/>
    <w:rsid w:val="004F5963"/>
    <w:rsid w:val="005663F8"/>
    <w:rsid w:val="005667B5"/>
    <w:rsid w:val="005957B8"/>
    <w:rsid w:val="005C3CB2"/>
    <w:rsid w:val="005F1D0F"/>
    <w:rsid w:val="005F3630"/>
    <w:rsid w:val="00625E6C"/>
    <w:rsid w:val="00656403"/>
    <w:rsid w:val="0067523B"/>
    <w:rsid w:val="00752936"/>
    <w:rsid w:val="00765CE1"/>
    <w:rsid w:val="00881D0B"/>
    <w:rsid w:val="008B008C"/>
    <w:rsid w:val="00923B96"/>
    <w:rsid w:val="009707F6"/>
    <w:rsid w:val="00990454"/>
    <w:rsid w:val="00A00982"/>
    <w:rsid w:val="00A37FA6"/>
    <w:rsid w:val="00A72CB0"/>
    <w:rsid w:val="00A825F7"/>
    <w:rsid w:val="00AA69A2"/>
    <w:rsid w:val="00AB3B5E"/>
    <w:rsid w:val="00AB66F0"/>
    <w:rsid w:val="00AF22A0"/>
    <w:rsid w:val="00AF22DD"/>
    <w:rsid w:val="00B131E3"/>
    <w:rsid w:val="00B613D1"/>
    <w:rsid w:val="00B87867"/>
    <w:rsid w:val="00BB0B94"/>
    <w:rsid w:val="00BE0476"/>
    <w:rsid w:val="00C4024E"/>
    <w:rsid w:val="00C44742"/>
    <w:rsid w:val="00C86B65"/>
    <w:rsid w:val="00CB5B06"/>
    <w:rsid w:val="00D05FAC"/>
    <w:rsid w:val="00D24366"/>
    <w:rsid w:val="00D43831"/>
    <w:rsid w:val="00D826E1"/>
    <w:rsid w:val="00DC139D"/>
    <w:rsid w:val="00DD467D"/>
    <w:rsid w:val="00DE50F3"/>
    <w:rsid w:val="00E13F16"/>
    <w:rsid w:val="00E3198D"/>
    <w:rsid w:val="00E662FA"/>
    <w:rsid w:val="00ED24C1"/>
    <w:rsid w:val="00ED4BB2"/>
    <w:rsid w:val="00EE524B"/>
    <w:rsid w:val="00F061F7"/>
    <w:rsid w:val="00F843FA"/>
    <w:rsid w:val="00FE2904"/>
    <w:rsid w:val="00FE6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BCD774"/>
  <w15:docId w15:val="{52DEA594-649B-4554-9C06-D551B945B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oundry Form Sans" w:hAnsi="Foundry Form Sans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D438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3569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94F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303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243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D24366"/>
    <w:rPr>
      <w:rFonts w:ascii="Foundry Form Sans" w:hAnsi="Foundry Form Sans"/>
      <w:sz w:val="24"/>
      <w:szCs w:val="24"/>
      <w:lang w:eastAsia="en-US"/>
    </w:rPr>
  </w:style>
  <w:style w:type="paragraph" w:styleId="Footer">
    <w:name w:val="footer"/>
    <w:basedOn w:val="Normal"/>
    <w:link w:val="FooterChar"/>
    <w:rsid w:val="00D243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D24366"/>
    <w:rPr>
      <w:rFonts w:ascii="Foundry Form Sans" w:hAnsi="Foundry Form Sans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A00982"/>
    <w:pPr>
      <w:ind w:left="720"/>
    </w:pPr>
    <w:rPr>
      <w:rFonts w:ascii="Calibri" w:eastAsiaTheme="minorHAnsi" w:hAnsi="Calibri"/>
      <w:sz w:val="22"/>
      <w:szCs w:val="22"/>
    </w:rPr>
  </w:style>
  <w:style w:type="character" w:styleId="CommentReference">
    <w:name w:val="annotation reference"/>
    <w:basedOn w:val="DefaultParagraphFont"/>
    <w:semiHidden/>
    <w:unhideWhenUsed/>
    <w:rsid w:val="00DC139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C13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C139D"/>
    <w:rPr>
      <w:rFonts w:ascii="Foundry Form Sans" w:hAnsi="Foundry Form Sans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C13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C139D"/>
    <w:rPr>
      <w:rFonts w:ascii="Foundry Form Sans" w:hAnsi="Foundry Form Sans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50C18-ADA8-4D3F-B795-624960D4E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London Authority</Company>
  <LinksUpToDate>false</LinksUpToDate>
  <CharactersWithSpaces>8439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 Preston</dc:creator>
  <cp:lastModifiedBy>Ditiksha Hirani</cp:lastModifiedBy>
  <cp:revision>3</cp:revision>
  <cp:lastPrinted>2018-11-15T12:35:00Z</cp:lastPrinted>
  <dcterms:created xsi:type="dcterms:W3CDTF">2018-12-05T14:49:00Z</dcterms:created>
  <dcterms:modified xsi:type="dcterms:W3CDTF">2018-12-05T14:49:00Z</dcterms:modified>
</cp:coreProperties>
</file>