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CD" w:rsidRDefault="00DB28CD" w:rsidP="00DB28CD">
      <w:pPr>
        <w:pStyle w:val="ListParagraph"/>
        <w:jc w:val="center"/>
      </w:pPr>
      <w:r>
        <w:rPr>
          <w:noProof/>
          <w:lang w:eastAsia="en-GB"/>
        </w:rPr>
        <w:drawing>
          <wp:inline distT="0" distB="0" distL="0" distR="0">
            <wp:extent cx="2714625" cy="342900"/>
            <wp:effectExtent l="0" t="0" r="9525" b="0"/>
            <wp:docPr id="1" name="Picture 4" descr="cid:image001.jpg@01CDA2F3.4D18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id:image001.jpg@01CDA2F3.4D181930"/>
                    <pic:cNvPicPr>
                      <a:picLocks noChangeAspect="1" noChangeArrowheads="1"/>
                    </pic:cNvPicPr>
                  </pic:nvPicPr>
                  <pic:blipFill>
                    <a:blip r:embed="rId6" r:link="rId7"/>
                    <a:srcRect/>
                    <a:stretch>
                      <a:fillRect/>
                    </a:stretch>
                  </pic:blipFill>
                  <pic:spPr bwMode="auto">
                    <a:xfrm>
                      <a:off x="0" y="0"/>
                      <a:ext cx="2717800" cy="343301"/>
                    </a:xfrm>
                    <a:prstGeom prst="rect">
                      <a:avLst/>
                    </a:prstGeom>
                    <a:noFill/>
                    <a:ln w="9525">
                      <a:noFill/>
                      <a:miter lim="800000"/>
                      <a:headEnd/>
                      <a:tailEnd/>
                    </a:ln>
                  </pic:spPr>
                </pic:pic>
              </a:graphicData>
            </a:graphic>
          </wp:inline>
        </w:drawing>
      </w:r>
    </w:p>
    <w:p w:rsidR="00DB28CD" w:rsidRPr="00953029" w:rsidRDefault="00DB28CD" w:rsidP="00DB28CD">
      <w:pPr>
        <w:jc w:val="center"/>
        <w:rPr>
          <w:b/>
        </w:rPr>
      </w:pPr>
      <w:r w:rsidRPr="00953029">
        <w:rPr>
          <w:b/>
        </w:rPr>
        <w:t>JOB DESCRIPTION</w:t>
      </w:r>
    </w:p>
    <w:tbl>
      <w:tblPr>
        <w:tblW w:w="1017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0"/>
        <w:gridCol w:w="4334"/>
        <w:gridCol w:w="1276"/>
        <w:gridCol w:w="2670"/>
      </w:tblGrid>
      <w:tr w:rsidR="00DB28CD" w:rsidRPr="004B2AC5">
        <w:tc>
          <w:tcPr>
            <w:tcW w:w="1890" w:type="dxa"/>
            <w:shd w:val="pct20" w:color="auto" w:fill="auto"/>
          </w:tcPr>
          <w:p w:rsidR="00DB28CD" w:rsidRPr="004B2AC5" w:rsidRDefault="00DB28CD" w:rsidP="00DB28CD">
            <w:pPr>
              <w:spacing w:before="40" w:after="40"/>
              <w:jc w:val="both"/>
              <w:rPr>
                <w:rFonts w:cs="Arial"/>
                <w:b/>
              </w:rPr>
            </w:pPr>
            <w:r w:rsidRPr="004B2AC5">
              <w:rPr>
                <w:rFonts w:cs="Arial"/>
                <w:b/>
              </w:rPr>
              <w:t>Role</w:t>
            </w:r>
          </w:p>
        </w:tc>
        <w:tc>
          <w:tcPr>
            <w:tcW w:w="4334" w:type="dxa"/>
          </w:tcPr>
          <w:p w:rsidR="00DB28CD" w:rsidRPr="004B2AC5" w:rsidRDefault="00A607F2" w:rsidP="00DB28CD">
            <w:pPr>
              <w:spacing w:before="40" w:after="40"/>
              <w:rPr>
                <w:rFonts w:cs="Arial"/>
              </w:rPr>
            </w:pPr>
            <w:r>
              <w:rPr>
                <w:rFonts w:cs="Arial"/>
              </w:rPr>
              <w:t>Communications</w:t>
            </w:r>
            <w:r w:rsidR="002C5029">
              <w:rPr>
                <w:rFonts w:cs="Arial"/>
              </w:rPr>
              <w:t xml:space="preserve"> Account</w:t>
            </w:r>
            <w:r>
              <w:rPr>
                <w:rFonts w:cs="Arial"/>
              </w:rPr>
              <w:t xml:space="preserve"> Manager</w:t>
            </w:r>
          </w:p>
        </w:tc>
        <w:tc>
          <w:tcPr>
            <w:tcW w:w="1276" w:type="dxa"/>
            <w:shd w:val="pct20" w:color="auto" w:fill="auto"/>
          </w:tcPr>
          <w:p w:rsidR="00DB28CD" w:rsidRPr="004B2AC5" w:rsidRDefault="00DB28CD" w:rsidP="00DB28CD">
            <w:pPr>
              <w:spacing w:before="40" w:after="40"/>
              <w:jc w:val="both"/>
              <w:rPr>
                <w:rFonts w:cs="Arial"/>
              </w:rPr>
            </w:pPr>
            <w:r>
              <w:rPr>
                <w:rFonts w:cs="Arial"/>
                <w:b/>
              </w:rPr>
              <w:t xml:space="preserve">Team </w:t>
            </w:r>
          </w:p>
        </w:tc>
        <w:tc>
          <w:tcPr>
            <w:tcW w:w="2670" w:type="dxa"/>
          </w:tcPr>
          <w:p w:rsidR="00DB28CD" w:rsidRPr="004B2AC5" w:rsidRDefault="00DB28CD" w:rsidP="00DB28CD">
            <w:pPr>
              <w:spacing w:before="40" w:after="40"/>
              <w:jc w:val="both"/>
              <w:rPr>
                <w:rFonts w:cs="Arial"/>
              </w:rPr>
            </w:pPr>
            <w:r>
              <w:rPr>
                <w:rFonts w:cs="Arial"/>
              </w:rPr>
              <w:t>Business Support</w:t>
            </w:r>
          </w:p>
        </w:tc>
      </w:tr>
      <w:tr w:rsidR="00DB28CD" w:rsidRPr="004B2AC5">
        <w:tc>
          <w:tcPr>
            <w:tcW w:w="1890" w:type="dxa"/>
            <w:shd w:val="pct20" w:color="auto" w:fill="auto"/>
          </w:tcPr>
          <w:p w:rsidR="00DB28CD" w:rsidRPr="004B2AC5" w:rsidRDefault="00DB28CD" w:rsidP="00DB28CD">
            <w:pPr>
              <w:spacing w:before="40" w:after="40"/>
              <w:jc w:val="both"/>
              <w:rPr>
                <w:rFonts w:cs="Arial"/>
                <w:b/>
              </w:rPr>
            </w:pPr>
            <w:r w:rsidRPr="004B2AC5">
              <w:rPr>
                <w:rFonts w:cs="Arial"/>
                <w:b/>
              </w:rPr>
              <w:t>Reports To</w:t>
            </w:r>
          </w:p>
        </w:tc>
        <w:tc>
          <w:tcPr>
            <w:tcW w:w="4334" w:type="dxa"/>
          </w:tcPr>
          <w:p w:rsidR="00DB28CD" w:rsidRPr="004B2AC5" w:rsidRDefault="002315F3" w:rsidP="00DB28CD">
            <w:pPr>
              <w:spacing w:before="40" w:after="40"/>
              <w:jc w:val="both"/>
              <w:rPr>
                <w:rFonts w:cs="Arial"/>
              </w:rPr>
            </w:pPr>
            <w:r>
              <w:rPr>
                <w:rFonts w:cs="Arial"/>
              </w:rPr>
              <w:t>Director of Strategy</w:t>
            </w:r>
          </w:p>
        </w:tc>
        <w:tc>
          <w:tcPr>
            <w:tcW w:w="1276" w:type="dxa"/>
            <w:shd w:val="pct20" w:color="auto" w:fill="auto"/>
          </w:tcPr>
          <w:p w:rsidR="00DB28CD" w:rsidRPr="004B2AC5" w:rsidRDefault="00DB28CD" w:rsidP="00DB28CD">
            <w:pPr>
              <w:spacing w:before="40" w:after="40"/>
              <w:jc w:val="both"/>
              <w:rPr>
                <w:rFonts w:cs="Arial"/>
                <w:b/>
              </w:rPr>
            </w:pPr>
            <w:r>
              <w:rPr>
                <w:rFonts w:cs="Arial"/>
                <w:b/>
              </w:rPr>
              <w:t>Directorate</w:t>
            </w:r>
          </w:p>
        </w:tc>
        <w:tc>
          <w:tcPr>
            <w:tcW w:w="2670" w:type="dxa"/>
          </w:tcPr>
          <w:p w:rsidR="00DB28CD" w:rsidRPr="004B2AC5" w:rsidRDefault="00DB28CD" w:rsidP="00DB28CD">
            <w:pPr>
              <w:spacing w:before="40" w:after="40"/>
              <w:jc w:val="both"/>
              <w:rPr>
                <w:rFonts w:cs="Arial"/>
              </w:rPr>
            </w:pPr>
            <w:r>
              <w:rPr>
                <w:rFonts w:cs="Arial"/>
              </w:rPr>
              <w:t>Strategy</w:t>
            </w:r>
          </w:p>
        </w:tc>
      </w:tr>
      <w:tr w:rsidR="00AB3B25" w:rsidRPr="004B2AC5" w:rsidTr="00FC3747">
        <w:tc>
          <w:tcPr>
            <w:tcW w:w="1890" w:type="dxa"/>
            <w:shd w:val="pct20" w:color="auto" w:fill="auto"/>
          </w:tcPr>
          <w:p w:rsidR="00AB3B25" w:rsidRPr="004B2AC5" w:rsidRDefault="00AB3B25" w:rsidP="00FC3747">
            <w:pPr>
              <w:spacing w:before="40" w:after="40"/>
              <w:jc w:val="both"/>
              <w:rPr>
                <w:rFonts w:cs="Arial"/>
                <w:b/>
              </w:rPr>
            </w:pPr>
            <w:r>
              <w:rPr>
                <w:rFonts w:cs="Arial"/>
                <w:b/>
              </w:rPr>
              <w:t>Responsible for</w:t>
            </w:r>
          </w:p>
        </w:tc>
        <w:tc>
          <w:tcPr>
            <w:tcW w:w="4334" w:type="dxa"/>
          </w:tcPr>
          <w:p w:rsidR="00AB3B25" w:rsidRDefault="00AB3B25" w:rsidP="00FC3747">
            <w:pPr>
              <w:spacing w:before="40" w:after="40"/>
              <w:jc w:val="both"/>
              <w:rPr>
                <w:rFonts w:cs="Arial"/>
              </w:rPr>
            </w:pPr>
            <w:r>
              <w:rPr>
                <w:rFonts w:cs="Arial"/>
              </w:rPr>
              <w:t>Communications</w:t>
            </w:r>
            <w:r w:rsidR="002C5029">
              <w:rPr>
                <w:rFonts w:cs="Arial"/>
              </w:rPr>
              <w:t xml:space="preserve"> Account</w:t>
            </w:r>
            <w:r>
              <w:rPr>
                <w:rFonts w:cs="Arial"/>
              </w:rPr>
              <w:t xml:space="preserve"> Officer</w:t>
            </w:r>
          </w:p>
        </w:tc>
        <w:tc>
          <w:tcPr>
            <w:tcW w:w="1276" w:type="dxa"/>
            <w:shd w:val="pct20" w:color="auto" w:fill="auto"/>
          </w:tcPr>
          <w:p w:rsidR="00AB3B25" w:rsidRDefault="00AB3B25" w:rsidP="00FC3747">
            <w:pPr>
              <w:spacing w:before="40" w:after="40"/>
              <w:jc w:val="both"/>
              <w:rPr>
                <w:rFonts w:cs="Arial"/>
                <w:b/>
              </w:rPr>
            </w:pPr>
            <w:r>
              <w:rPr>
                <w:rFonts w:cs="Arial"/>
                <w:b/>
              </w:rPr>
              <w:t>Budget</w:t>
            </w:r>
          </w:p>
        </w:tc>
        <w:tc>
          <w:tcPr>
            <w:tcW w:w="2670" w:type="dxa"/>
          </w:tcPr>
          <w:p w:rsidR="00AB3B25" w:rsidRDefault="00AB3B25" w:rsidP="00FC3747">
            <w:pPr>
              <w:spacing w:before="40" w:after="40"/>
              <w:jc w:val="both"/>
              <w:rPr>
                <w:rFonts w:cs="Arial"/>
              </w:rPr>
            </w:pPr>
            <w:r>
              <w:rPr>
                <w:rFonts w:cs="Arial"/>
              </w:rPr>
              <w:t>c.£145k</w:t>
            </w:r>
          </w:p>
        </w:tc>
      </w:tr>
      <w:tr w:rsidR="00DB28CD" w:rsidRPr="004B2AC5" w:rsidTr="00AB3B25">
        <w:trPr>
          <w:trHeight w:val="317"/>
        </w:trPr>
        <w:tc>
          <w:tcPr>
            <w:tcW w:w="1890" w:type="dxa"/>
            <w:shd w:val="pct20" w:color="auto" w:fill="auto"/>
          </w:tcPr>
          <w:p w:rsidR="00DB28CD" w:rsidRPr="000C56DF" w:rsidRDefault="00DB28CD" w:rsidP="00DB28CD">
            <w:pPr>
              <w:spacing w:after="120"/>
              <w:rPr>
                <w:b/>
              </w:rPr>
            </w:pPr>
            <w:r w:rsidRPr="000C56DF">
              <w:rPr>
                <w:b/>
              </w:rPr>
              <w:t>Post Reference</w:t>
            </w:r>
          </w:p>
        </w:tc>
        <w:tc>
          <w:tcPr>
            <w:tcW w:w="4334" w:type="dxa"/>
          </w:tcPr>
          <w:p w:rsidR="00DB28CD" w:rsidRPr="00E47BDD" w:rsidRDefault="00AB3B25" w:rsidP="00DB28CD">
            <w:r>
              <w:t>STR08</w:t>
            </w:r>
          </w:p>
        </w:tc>
        <w:tc>
          <w:tcPr>
            <w:tcW w:w="1276" w:type="dxa"/>
            <w:shd w:val="pct20" w:color="auto" w:fill="auto"/>
          </w:tcPr>
          <w:p w:rsidR="00DB28CD" w:rsidRPr="000C56DF" w:rsidRDefault="00DB28CD" w:rsidP="00DB28CD">
            <w:pPr>
              <w:spacing w:after="120"/>
              <w:rPr>
                <w:b/>
              </w:rPr>
            </w:pPr>
            <w:r w:rsidRPr="000C56DF">
              <w:rPr>
                <w:b/>
              </w:rPr>
              <w:t>Grade</w:t>
            </w:r>
          </w:p>
        </w:tc>
        <w:tc>
          <w:tcPr>
            <w:tcW w:w="2670" w:type="dxa"/>
          </w:tcPr>
          <w:p w:rsidR="00DB28CD" w:rsidRPr="00E47BDD" w:rsidRDefault="00A4624E" w:rsidP="00DB28CD">
            <w:r>
              <w:t>3</w:t>
            </w:r>
          </w:p>
        </w:tc>
      </w:tr>
      <w:tr w:rsidR="00DB28CD" w:rsidRPr="004B2AC5">
        <w:tc>
          <w:tcPr>
            <w:tcW w:w="10170" w:type="dxa"/>
            <w:gridSpan w:val="4"/>
            <w:shd w:val="pct20" w:color="auto" w:fill="auto"/>
          </w:tcPr>
          <w:p w:rsidR="00DB28CD" w:rsidRPr="009930E9" w:rsidRDefault="00DB28CD" w:rsidP="009F3EE2">
            <w:pPr>
              <w:spacing w:beforeLines="40" w:before="96" w:after="40" w:line="240" w:lineRule="auto"/>
            </w:pPr>
            <w:r w:rsidRPr="000C56DF">
              <w:rPr>
                <w:b/>
              </w:rPr>
              <w:t>Purpose of the Role</w:t>
            </w:r>
            <w:r w:rsidRPr="009930E9">
              <w:t xml:space="preserve"> </w:t>
            </w:r>
          </w:p>
        </w:tc>
      </w:tr>
      <w:tr w:rsidR="00DB28CD" w:rsidRPr="004B2AC5">
        <w:tc>
          <w:tcPr>
            <w:tcW w:w="10170" w:type="dxa"/>
            <w:gridSpan w:val="4"/>
          </w:tcPr>
          <w:p w:rsidR="005B5A0C" w:rsidRDefault="00702D4F" w:rsidP="009F3EE2">
            <w:pPr>
              <w:spacing w:beforeLines="40" w:before="96" w:after="40" w:line="240" w:lineRule="auto"/>
              <w:rPr>
                <w:rFonts w:cs="Calibri"/>
                <w:lang w:val="en" w:eastAsia="en-GB"/>
              </w:rPr>
            </w:pPr>
            <w:r w:rsidRPr="00702D4F">
              <w:rPr>
                <w:rFonts w:cs="Calibri"/>
                <w:lang w:val="en" w:eastAsia="en-GB"/>
              </w:rPr>
              <w:t>Responsible for the tran</w:t>
            </w:r>
            <w:r>
              <w:rPr>
                <w:rFonts w:cs="Calibri"/>
                <w:lang w:val="en" w:eastAsia="en-GB"/>
              </w:rPr>
              <w:t>slation of core MOPAC strategies, t</w:t>
            </w:r>
            <w:r w:rsidR="005B5A0C">
              <w:rPr>
                <w:rFonts w:cs="Calibri"/>
                <w:lang w:val="en" w:eastAsia="en-GB"/>
              </w:rPr>
              <w:t>he Senior Communications Manager will be the first point of liaison for MOPAC’s communication function, internally within MOPAC</w:t>
            </w:r>
            <w:proofErr w:type="gramStart"/>
            <w:r w:rsidR="005B5A0C">
              <w:rPr>
                <w:rFonts w:cs="Calibri"/>
                <w:lang w:val="en" w:eastAsia="en-GB"/>
              </w:rPr>
              <w:t xml:space="preserve">, </w:t>
            </w:r>
            <w:r>
              <w:rPr>
                <w:rFonts w:cs="Calibri"/>
                <w:lang w:val="en" w:eastAsia="en-GB"/>
              </w:rPr>
              <w:t xml:space="preserve"> and</w:t>
            </w:r>
            <w:proofErr w:type="gramEnd"/>
            <w:r>
              <w:rPr>
                <w:rFonts w:cs="Calibri"/>
                <w:lang w:val="en" w:eastAsia="en-GB"/>
              </w:rPr>
              <w:t xml:space="preserve"> provide the strategic link </w:t>
            </w:r>
            <w:r w:rsidR="005B5A0C">
              <w:rPr>
                <w:rFonts w:cs="Calibri"/>
                <w:lang w:val="en" w:eastAsia="en-GB"/>
              </w:rPr>
              <w:t>with the GLA shared services (press, web, design and government relations) external suppliers.</w:t>
            </w:r>
          </w:p>
          <w:p w:rsidR="005B5A0C" w:rsidRDefault="005B5A0C" w:rsidP="009F3EE2">
            <w:pPr>
              <w:spacing w:beforeLines="40" w:before="96" w:after="40" w:line="240" w:lineRule="auto"/>
            </w:pPr>
            <w:r>
              <w:rPr>
                <w:rFonts w:cs="Calibri"/>
                <w:lang w:val="en" w:eastAsia="en-GB"/>
              </w:rPr>
              <w:t xml:space="preserve">The post holder will </w:t>
            </w:r>
            <w:r>
              <w:t xml:space="preserve">support the processes, systems and team </w:t>
            </w:r>
            <w:r w:rsidR="00501539">
              <w:t>which e</w:t>
            </w:r>
            <w:r w:rsidR="00CC766E">
              <w:t>nsure that MOPAC communicates</w:t>
            </w:r>
            <w:r w:rsidR="00DB28CD">
              <w:t xml:space="preserve"> effectively and efficiently with all its audiences. </w:t>
            </w:r>
            <w:r>
              <w:t>They will m</w:t>
            </w:r>
            <w:r w:rsidR="00DB28CD">
              <w:t>anage the commissionin</w:t>
            </w:r>
            <w:r w:rsidR="00501539">
              <w:t xml:space="preserve">g and delivery of </w:t>
            </w:r>
            <w:r>
              <w:t>communications</w:t>
            </w:r>
            <w:r w:rsidR="00DB28CD">
              <w:t xml:space="preserve"> activity </w:t>
            </w:r>
            <w:r w:rsidR="0029641C">
              <w:t>from</w:t>
            </w:r>
            <w:r w:rsidR="00DB28CD">
              <w:t xml:space="preserve"> MOPAC with the GLA, external suppliers and partner organisations.  </w:t>
            </w:r>
          </w:p>
          <w:p w:rsidR="009F3EE2" w:rsidRDefault="005B5A0C" w:rsidP="00AB3B25">
            <w:pPr>
              <w:spacing w:beforeLines="40" w:before="96" w:after="40" w:line="240" w:lineRule="auto"/>
            </w:pPr>
            <w:r>
              <w:t>They will c</w:t>
            </w:r>
            <w:r w:rsidR="00DB28CD" w:rsidRPr="009930E9">
              <w:t>hampion</w:t>
            </w:r>
            <w:r w:rsidR="00DB28CD">
              <w:t xml:space="preserve"> good commun</w:t>
            </w:r>
            <w:r w:rsidR="00D34D82">
              <w:t>ications practice across MOPAC</w:t>
            </w:r>
            <w:r w:rsidR="00702D4F">
              <w:t>, including knowledge maintenance,</w:t>
            </w:r>
            <w:r w:rsidR="00D34D82">
              <w:t xml:space="preserve"> and take on a number of individual discrete communications projects as on the forward communications planner. </w:t>
            </w:r>
          </w:p>
          <w:p w:rsidR="00AB3B25" w:rsidRPr="009930E9" w:rsidRDefault="00AB3B25" w:rsidP="00AB3B25">
            <w:pPr>
              <w:spacing w:beforeLines="40" w:before="96" w:after="40" w:line="240" w:lineRule="auto"/>
            </w:pPr>
          </w:p>
        </w:tc>
      </w:tr>
      <w:tr w:rsidR="00DB28CD" w:rsidRPr="004B2AC5">
        <w:tc>
          <w:tcPr>
            <w:tcW w:w="10170" w:type="dxa"/>
            <w:gridSpan w:val="4"/>
            <w:shd w:val="pct20" w:color="auto" w:fill="auto"/>
          </w:tcPr>
          <w:p w:rsidR="00DB28CD" w:rsidRPr="00CD4DAF" w:rsidRDefault="00DB28CD" w:rsidP="00DB28CD">
            <w:pPr>
              <w:spacing w:before="40" w:after="40"/>
              <w:rPr>
                <w:rFonts w:cs="Arial"/>
                <w:b/>
              </w:rPr>
            </w:pPr>
            <w:r w:rsidRPr="004B2AC5">
              <w:rPr>
                <w:rFonts w:cs="Arial"/>
                <w:b/>
              </w:rPr>
              <w:t>Main Duties and Key Accountabilities of the jobholder</w:t>
            </w:r>
            <w:r>
              <w:rPr>
                <w:rFonts w:cs="Arial"/>
                <w:b/>
              </w:rPr>
              <w:t xml:space="preserve"> </w:t>
            </w:r>
          </w:p>
        </w:tc>
      </w:tr>
      <w:tr w:rsidR="00DB28CD" w:rsidRPr="004B2AC5">
        <w:tc>
          <w:tcPr>
            <w:tcW w:w="10170" w:type="dxa"/>
            <w:gridSpan w:val="4"/>
          </w:tcPr>
          <w:p w:rsidR="00D34D82" w:rsidRPr="00B32B2E" w:rsidRDefault="00D34D82" w:rsidP="00D34D82">
            <w:pPr>
              <w:pStyle w:val="ListParagraph"/>
              <w:numPr>
                <w:ilvl w:val="0"/>
                <w:numId w:val="8"/>
              </w:numPr>
              <w:overflowPunct w:val="0"/>
              <w:autoSpaceDE w:val="0"/>
              <w:autoSpaceDN w:val="0"/>
              <w:adjustRightInd w:val="0"/>
              <w:spacing w:before="40" w:after="0" w:line="240" w:lineRule="auto"/>
              <w:contextualSpacing/>
              <w:textAlignment w:val="baseline"/>
            </w:pPr>
            <w:r w:rsidRPr="00B32B2E">
              <w:t xml:space="preserve">Work across the organisation to support the delivery of the Police and Crime Plan by promoting MOPAC’s work and messages across the communications mix: media, digital, stakeholder communications, events, internal communications and public enquiries. </w:t>
            </w:r>
          </w:p>
          <w:p w:rsidR="005B5A0C" w:rsidRPr="00B32B2E" w:rsidRDefault="005B5A0C" w:rsidP="009F3EE2">
            <w:pPr>
              <w:pStyle w:val="ListParagraph"/>
              <w:numPr>
                <w:ilvl w:val="0"/>
                <w:numId w:val="8"/>
              </w:numPr>
              <w:overflowPunct w:val="0"/>
              <w:autoSpaceDE w:val="0"/>
              <w:autoSpaceDN w:val="0"/>
              <w:adjustRightInd w:val="0"/>
              <w:spacing w:before="40" w:after="0" w:line="240" w:lineRule="auto"/>
              <w:ind w:left="714" w:hanging="357"/>
              <w:contextualSpacing/>
              <w:textAlignment w:val="baseline"/>
            </w:pPr>
            <w:r w:rsidRPr="00B32B2E">
              <w:t xml:space="preserve">Develop and deliver the communications strategy in line with the MOPAC business plan. </w:t>
            </w:r>
          </w:p>
          <w:p w:rsidR="00C5388D" w:rsidRPr="00B32B2E" w:rsidRDefault="00C5388D" w:rsidP="00C5388D">
            <w:pPr>
              <w:pStyle w:val="ListParagraph"/>
              <w:numPr>
                <w:ilvl w:val="0"/>
                <w:numId w:val="8"/>
              </w:numPr>
              <w:overflowPunct w:val="0"/>
              <w:autoSpaceDE w:val="0"/>
              <w:autoSpaceDN w:val="0"/>
              <w:adjustRightInd w:val="0"/>
              <w:spacing w:before="40" w:after="0" w:line="240" w:lineRule="auto"/>
              <w:ind w:left="714" w:hanging="357"/>
              <w:contextualSpacing/>
              <w:textAlignment w:val="baseline"/>
            </w:pPr>
            <w:r w:rsidRPr="00B32B2E">
              <w:t xml:space="preserve">Work in partnership with the Deputy Mayor’s advisers, GLA colleagues and partners in the MPS and stakeholder bodies to deliver co-ordinated and consistent communications. </w:t>
            </w:r>
          </w:p>
          <w:p w:rsidR="00207A08" w:rsidRPr="00B32B2E" w:rsidRDefault="00207A08" w:rsidP="00207A08">
            <w:pPr>
              <w:pStyle w:val="ListParagraph"/>
              <w:numPr>
                <w:ilvl w:val="0"/>
                <w:numId w:val="8"/>
              </w:numPr>
              <w:overflowPunct w:val="0"/>
              <w:autoSpaceDE w:val="0"/>
              <w:autoSpaceDN w:val="0"/>
              <w:adjustRightInd w:val="0"/>
              <w:spacing w:after="0" w:line="240" w:lineRule="auto"/>
              <w:ind w:left="714" w:hanging="357"/>
              <w:contextualSpacing/>
              <w:textAlignment w:val="baseline"/>
            </w:pPr>
            <w:r w:rsidRPr="00B32B2E">
              <w:t>Lead the development and implementation of a forward plan for MOPAC communications in partnership with the Deputy Mayor’s advisers and GLA colleagues.</w:t>
            </w:r>
          </w:p>
          <w:p w:rsidR="00207A08" w:rsidRPr="00B32B2E" w:rsidRDefault="00207A08" w:rsidP="00207A08">
            <w:pPr>
              <w:pStyle w:val="ListParagraph"/>
              <w:numPr>
                <w:ilvl w:val="0"/>
                <w:numId w:val="8"/>
              </w:numPr>
              <w:overflowPunct w:val="0"/>
              <w:autoSpaceDE w:val="0"/>
              <w:autoSpaceDN w:val="0"/>
              <w:adjustRightInd w:val="0"/>
              <w:spacing w:after="0" w:line="240" w:lineRule="auto"/>
              <w:ind w:left="714" w:hanging="357"/>
              <w:contextualSpacing/>
              <w:textAlignment w:val="baseline"/>
            </w:pPr>
            <w:r w:rsidRPr="00B32B2E">
              <w:t xml:space="preserve">Work with policy leads, Director of Strategy, GLA media team and Advisors on defining messaging and narrative across the organisation within the policing and criminal justice context.  </w:t>
            </w:r>
          </w:p>
          <w:p w:rsidR="00D34D82" w:rsidRPr="00B32B2E" w:rsidRDefault="00D34D82" w:rsidP="009F3EE2">
            <w:pPr>
              <w:pStyle w:val="ListParagraph"/>
              <w:numPr>
                <w:ilvl w:val="0"/>
                <w:numId w:val="8"/>
              </w:numPr>
              <w:overflowPunct w:val="0"/>
              <w:autoSpaceDE w:val="0"/>
              <w:autoSpaceDN w:val="0"/>
              <w:adjustRightInd w:val="0"/>
              <w:spacing w:after="0" w:line="240" w:lineRule="auto"/>
              <w:ind w:left="714" w:hanging="357"/>
              <w:contextualSpacing/>
              <w:textAlignment w:val="baseline"/>
            </w:pPr>
            <w:r w:rsidRPr="00B32B2E">
              <w:t xml:space="preserve">Oversee the </w:t>
            </w:r>
            <w:r w:rsidR="00207A08" w:rsidRPr="00B32B2E">
              <w:t xml:space="preserve">development and </w:t>
            </w:r>
            <w:r w:rsidRPr="00B32B2E">
              <w:t>delivery of MOPAC’s “Big Data” tools, through which performance data will be made available to partners, stakeholders and members of the public via a variety of media channels.</w:t>
            </w:r>
          </w:p>
          <w:p w:rsidR="009F3EE2" w:rsidRPr="00B32B2E" w:rsidRDefault="009328BD" w:rsidP="009F3EE2">
            <w:pPr>
              <w:pStyle w:val="ListParagraph"/>
              <w:numPr>
                <w:ilvl w:val="0"/>
                <w:numId w:val="8"/>
              </w:numPr>
              <w:tabs>
                <w:tab w:val="left" w:pos="709"/>
                <w:tab w:val="left" w:pos="993"/>
                <w:tab w:val="left" w:pos="1418"/>
                <w:tab w:val="left" w:pos="1843"/>
              </w:tabs>
              <w:spacing w:line="240" w:lineRule="auto"/>
              <w:ind w:left="714" w:hanging="357"/>
              <w:contextualSpacing/>
              <w:rPr>
                <w:szCs w:val="24"/>
              </w:rPr>
            </w:pPr>
            <w:r w:rsidRPr="00B32B2E">
              <w:rPr>
                <w:szCs w:val="24"/>
              </w:rPr>
              <w:t>Develop effective and trusted relations with se</w:t>
            </w:r>
            <w:r w:rsidR="00207A08" w:rsidRPr="00B32B2E">
              <w:rPr>
                <w:szCs w:val="24"/>
              </w:rPr>
              <w:t xml:space="preserve">nior management, GLA colleagues, Advisors and external </w:t>
            </w:r>
            <w:r w:rsidRPr="00B32B2E">
              <w:rPr>
                <w:szCs w:val="24"/>
              </w:rPr>
              <w:t>partners to enhance confidence in and satisfaction w</w:t>
            </w:r>
            <w:r w:rsidR="009F3EE2" w:rsidRPr="00B32B2E">
              <w:rPr>
                <w:szCs w:val="24"/>
              </w:rPr>
              <w:t xml:space="preserve">ith the communications function. </w:t>
            </w:r>
          </w:p>
          <w:p w:rsidR="009328BD" w:rsidRPr="00B32B2E" w:rsidRDefault="00DB28CD" w:rsidP="009F3EE2">
            <w:pPr>
              <w:pStyle w:val="ListParagraph"/>
              <w:numPr>
                <w:ilvl w:val="0"/>
                <w:numId w:val="8"/>
              </w:numPr>
              <w:tabs>
                <w:tab w:val="left" w:pos="709"/>
                <w:tab w:val="left" w:pos="993"/>
                <w:tab w:val="left" w:pos="1418"/>
                <w:tab w:val="left" w:pos="1843"/>
              </w:tabs>
              <w:spacing w:after="0" w:line="240" w:lineRule="auto"/>
              <w:ind w:left="714" w:hanging="357"/>
              <w:contextualSpacing/>
              <w:rPr>
                <w:szCs w:val="24"/>
              </w:rPr>
            </w:pPr>
            <w:r w:rsidRPr="00B32B2E">
              <w:t>Act as the i</w:t>
            </w:r>
            <w:r w:rsidR="009328BD" w:rsidRPr="00B32B2E">
              <w:t>ntelligent client</w:t>
            </w:r>
            <w:r w:rsidRPr="00B32B2E">
              <w:t xml:space="preserve"> between </w:t>
            </w:r>
            <w:r w:rsidR="009328BD" w:rsidRPr="00B32B2E">
              <w:t>MOPAC colleagues and communications providers in the GLA and external agencies</w:t>
            </w:r>
            <w:r w:rsidR="00207A08" w:rsidRPr="00B32B2E">
              <w:t xml:space="preserve"> including IT service providers.</w:t>
            </w:r>
          </w:p>
          <w:p w:rsidR="009F3EE2" w:rsidRPr="00B32B2E" w:rsidRDefault="009328BD" w:rsidP="009F3EE2">
            <w:pPr>
              <w:pStyle w:val="ListParagraph"/>
              <w:numPr>
                <w:ilvl w:val="0"/>
                <w:numId w:val="8"/>
              </w:numPr>
              <w:spacing w:line="240" w:lineRule="auto"/>
              <w:ind w:left="714" w:hanging="357"/>
              <w:contextualSpacing/>
              <w:rPr>
                <w:szCs w:val="24"/>
              </w:rPr>
            </w:pPr>
            <w:r w:rsidRPr="00B32B2E">
              <w:rPr>
                <w:szCs w:val="24"/>
              </w:rPr>
              <w:t>Lead and motivate a culture of excellence and continuous improvement</w:t>
            </w:r>
            <w:r w:rsidR="00501539" w:rsidRPr="00B32B2E">
              <w:rPr>
                <w:szCs w:val="24"/>
              </w:rPr>
              <w:t xml:space="preserve"> in communications and work in close partnership with Company Secretary / private Office</w:t>
            </w:r>
            <w:r w:rsidRPr="00B32B2E">
              <w:rPr>
                <w:szCs w:val="24"/>
              </w:rPr>
              <w:t>, giving staff direction, support and development</w:t>
            </w:r>
            <w:r w:rsidR="009F3EE2" w:rsidRPr="00B32B2E">
              <w:rPr>
                <w:szCs w:val="24"/>
              </w:rPr>
              <w:t>.</w:t>
            </w:r>
          </w:p>
          <w:p w:rsidR="009F3EE2" w:rsidRPr="00B32B2E" w:rsidRDefault="009328BD" w:rsidP="009F3EE2">
            <w:pPr>
              <w:pStyle w:val="ListParagraph"/>
              <w:numPr>
                <w:ilvl w:val="0"/>
                <w:numId w:val="8"/>
              </w:numPr>
              <w:spacing w:line="240" w:lineRule="auto"/>
              <w:ind w:left="714" w:hanging="357"/>
              <w:contextualSpacing/>
              <w:rPr>
                <w:szCs w:val="24"/>
              </w:rPr>
            </w:pPr>
            <w:r w:rsidRPr="00B32B2E">
              <w:t>Ensure that communications activities</w:t>
            </w:r>
            <w:r w:rsidR="00DB28CD" w:rsidRPr="00B32B2E">
              <w:t xml:space="preserve"> </w:t>
            </w:r>
            <w:r w:rsidR="00207A08" w:rsidRPr="00B32B2E">
              <w:t xml:space="preserve">are consistent, congruency, cost-effective and </w:t>
            </w:r>
            <w:r w:rsidR="00DB28CD" w:rsidRPr="00B32B2E">
              <w:t>comply with best practice and relevant legislative frameworks.</w:t>
            </w:r>
          </w:p>
          <w:p w:rsidR="00DB28CD" w:rsidRPr="00B32B2E" w:rsidRDefault="009328BD" w:rsidP="009F3EE2">
            <w:pPr>
              <w:pStyle w:val="ListParagraph"/>
              <w:numPr>
                <w:ilvl w:val="0"/>
                <w:numId w:val="8"/>
              </w:numPr>
              <w:spacing w:line="240" w:lineRule="auto"/>
              <w:ind w:left="714" w:hanging="357"/>
              <w:contextualSpacing/>
              <w:rPr>
                <w:szCs w:val="24"/>
              </w:rPr>
            </w:pPr>
            <w:r w:rsidRPr="00B32B2E">
              <w:t xml:space="preserve">Coach and train MOPAC colleagues in good communication practice and act as a source of expert advice on how communications can help meet their business objectives. </w:t>
            </w:r>
          </w:p>
          <w:p w:rsidR="00D34D82" w:rsidRPr="00B32B2E" w:rsidRDefault="00207A08" w:rsidP="009F3EE2">
            <w:pPr>
              <w:pStyle w:val="ListParagraph"/>
              <w:numPr>
                <w:ilvl w:val="0"/>
                <w:numId w:val="8"/>
              </w:numPr>
              <w:spacing w:line="240" w:lineRule="auto"/>
              <w:ind w:left="714" w:hanging="357"/>
              <w:contextualSpacing/>
              <w:rPr>
                <w:szCs w:val="24"/>
              </w:rPr>
            </w:pPr>
            <w:r w:rsidRPr="00B32B2E">
              <w:rPr>
                <w:szCs w:val="24"/>
              </w:rPr>
              <w:t>Lead</w:t>
            </w:r>
            <w:r w:rsidR="00D34D82" w:rsidRPr="00B32B2E">
              <w:rPr>
                <w:szCs w:val="24"/>
              </w:rPr>
              <w:t xml:space="preserve"> on best pra</w:t>
            </w:r>
            <w:r w:rsidRPr="00B32B2E">
              <w:rPr>
                <w:szCs w:val="24"/>
              </w:rPr>
              <w:t>c</w:t>
            </w:r>
            <w:r w:rsidR="00D34D82" w:rsidRPr="00B32B2E">
              <w:rPr>
                <w:szCs w:val="24"/>
              </w:rPr>
              <w:t xml:space="preserve">tice within the organisation on our brand and what templates we use for which communications. </w:t>
            </w:r>
          </w:p>
          <w:p w:rsidR="00D34D82" w:rsidRPr="00B32B2E" w:rsidRDefault="00D34D82" w:rsidP="00207A08">
            <w:pPr>
              <w:pStyle w:val="ListParagraph"/>
              <w:numPr>
                <w:ilvl w:val="0"/>
                <w:numId w:val="8"/>
              </w:numPr>
              <w:spacing w:line="240" w:lineRule="auto"/>
              <w:ind w:left="714" w:hanging="357"/>
              <w:contextualSpacing/>
              <w:rPr>
                <w:szCs w:val="24"/>
              </w:rPr>
            </w:pPr>
            <w:r w:rsidRPr="00B32B2E">
              <w:rPr>
                <w:szCs w:val="24"/>
              </w:rPr>
              <w:t>Manage</w:t>
            </w:r>
            <w:r w:rsidR="00207A08" w:rsidRPr="00B32B2E">
              <w:rPr>
                <w:szCs w:val="24"/>
              </w:rPr>
              <w:t xml:space="preserve"> </w:t>
            </w:r>
            <w:r w:rsidRPr="00B32B2E">
              <w:rPr>
                <w:szCs w:val="24"/>
              </w:rPr>
              <w:t>communications officer</w:t>
            </w:r>
          </w:p>
        </w:tc>
      </w:tr>
      <w:tr w:rsidR="00DB28CD" w:rsidRPr="004B2AC5">
        <w:tc>
          <w:tcPr>
            <w:tcW w:w="10170" w:type="dxa"/>
            <w:gridSpan w:val="4"/>
            <w:shd w:val="pct20" w:color="auto" w:fill="auto"/>
          </w:tcPr>
          <w:p w:rsidR="00DB28CD" w:rsidRPr="00C32AA1" w:rsidRDefault="00DB28CD" w:rsidP="00DB28CD">
            <w:pPr>
              <w:overflowPunct w:val="0"/>
              <w:autoSpaceDE w:val="0"/>
              <w:autoSpaceDN w:val="0"/>
              <w:adjustRightInd w:val="0"/>
              <w:spacing w:before="40" w:after="0" w:line="240" w:lineRule="auto"/>
              <w:textAlignment w:val="baseline"/>
              <w:rPr>
                <w:b/>
              </w:rPr>
            </w:pPr>
            <w:r w:rsidRPr="009930E9">
              <w:lastRenderedPageBreak/>
              <w:br w:type="page"/>
            </w:r>
            <w:r w:rsidRPr="00C32AA1">
              <w:rPr>
                <w:b/>
              </w:rPr>
              <w:t xml:space="preserve">Working Relationships and Contacts </w:t>
            </w:r>
          </w:p>
        </w:tc>
      </w:tr>
      <w:tr w:rsidR="00DB28CD" w:rsidRPr="004B2AC5">
        <w:tc>
          <w:tcPr>
            <w:tcW w:w="10170" w:type="dxa"/>
            <w:gridSpan w:val="4"/>
          </w:tcPr>
          <w:p w:rsidR="00DB28CD" w:rsidRDefault="00DB28CD" w:rsidP="009F3EE2">
            <w:pPr>
              <w:spacing w:beforeLines="40" w:before="96" w:after="40" w:line="240" w:lineRule="auto"/>
            </w:pPr>
            <w:r w:rsidRPr="004E274F">
              <w:t xml:space="preserve">The post holder will be required to develop and maintain effective working relationships across the GLA family, partner agencies and their representative bodies, the Metropolitan Police and statutory and third sector partners.  </w:t>
            </w:r>
          </w:p>
          <w:p w:rsidR="00AB3B25" w:rsidRPr="004E274F" w:rsidRDefault="00AB3B25" w:rsidP="009F3EE2">
            <w:pPr>
              <w:spacing w:beforeLines="40" w:before="96" w:after="40" w:line="240" w:lineRule="auto"/>
              <w:rPr>
                <w:rFonts w:cs="Arial"/>
              </w:rPr>
            </w:pPr>
          </w:p>
        </w:tc>
      </w:tr>
      <w:tr w:rsidR="00DB28CD" w:rsidRPr="004B2AC5">
        <w:tc>
          <w:tcPr>
            <w:tcW w:w="10170" w:type="dxa"/>
            <w:gridSpan w:val="4"/>
            <w:shd w:val="pct20" w:color="auto" w:fill="auto"/>
          </w:tcPr>
          <w:p w:rsidR="00DB28CD" w:rsidRPr="004B2AC5" w:rsidRDefault="00D47B42" w:rsidP="009F3EE2">
            <w:pPr>
              <w:numPr>
                <w:ilvl w:val="12"/>
                <w:numId w:val="0"/>
              </w:numPr>
              <w:spacing w:beforeLines="40" w:before="96" w:after="40"/>
              <w:rPr>
                <w:rFonts w:cs="Arial"/>
              </w:rPr>
            </w:pPr>
            <w:r>
              <w:rPr>
                <w:rFonts w:cs="Arial"/>
                <w:b/>
              </w:rPr>
              <w:t>Person Specification</w:t>
            </w:r>
            <w:r w:rsidR="00DB28CD">
              <w:rPr>
                <w:rFonts w:cs="Arial"/>
                <w:b/>
              </w:rPr>
              <w:t xml:space="preserve">  </w:t>
            </w:r>
          </w:p>
        </w:tc>
      </w:tr>
      <w:tr w:rsidR="00DB28CD" w:rsidRPr="004B2AC5">
        <w:tc>
          <w:tcPr>
            <w:tcW w:w="10170" w:type="dxa"/>
            <w:gridSpan w:val="4"/>
          </w:tcPr>
          <w:p w:rsidR="00D47B42" w:rsidRDefault="00D47B42" w:rsidP="009F3EE2">
            <w:pPr>
              <w:contextualSpacing/>
            </w:pPr>
          </w:p>
          <w:p w:rsidR="00D47B42" w:rsidRPr="00D47B42" w:rsidRDefault="00D47B42" w:rsidP="009F3EE2">
            <w:pPr>
              <w:contextualSpacing/>
              <w:rPr>
                <w:b/>
                <w:u w:val="single"/>
              </w:rPr>
            </w:pPr>
            <w:r>
              <w:rPr>
                <w:b/>
                <w:u w:val="single"/>
              </w:rPr>
              <w:t>Knowledge and Experience</w:t>
            </w:r>
          </w:p>
          <w:p w:rsidR="00D47B42" w:rsidRDefault="00D47B42" w:rsidP="009F3EE2">
            <w:pPr>
              <w:contextualSpacing/>
            </w:pPr>
          </w:p>
          <w:p w:rsidR="00D47B42" w:rsidRPr="00D47B42" w:rsidRDefault="009F3EE2" w:rsidP="00D47B42">
            <w:pPr>
              <w:pStyle w:val="ListParagraph"/>
              <w:numPr>
                <w:ilvl w:val="0"/>
                <w:numId w:val="11"/>
              </w:numPr>
              <w:contextualSpacing/>
              <w:rPr>
                <w:szCs w:val="21"/>
              </w:rPr>
            </w:pPr>
            <w:r w:rsidRPr="00B32B2E">
              <w:t xml:space="preserve">Demonstrable experience of </w:t>
            </w:r>
            <w:r w:rsidR="0083300A" w:rsidRPr="00B32B2E">
              <w:t>lead</w:t>
            </w:r>
            <w:r w:rsidRPr="00B32B2E">
              <w:t xml:space="preserve">ing </w:t>
            </w:r>
            <w:r w:rsidR="00501539" w:rsidRPr="00B32B2E">
              <w:t xml:space="preserve">on corporate </w:t>
            </w:r>
            <w:r w:rsidR="0029641C" w:rsidRPr="00B32B2E">
              <w:t>communications</w:t>
            </w:r>
            <w:r w:rsidR="00D47B42">
              <w:t xml:space="preserve"> in a complex organisation.</w:t>
            </w:r>
          </w:p>
          <w:p w:rsidR="00D47B42" w:rsidRPr="00D47B42" w:rsidRDefault="0083300A" w:rsidP="00D47B42">
            <w:pPr>
              <w:pStyle w:val="ListParagraph"/>
              <w:numPr>
                <w:ilvl w:val="0"/>
                <w:numId w:val="11"/>
              </w:numPr>
              <w:contextualSpacing/>
              <w:rPr>
                <w:szCs w:val="21"/>
              </w:rPr>
            </w:pPr>
            <w:r w:rsidRPr="00B32B2E">
              <w:t>Track record of developing and delivering communications with i</w:t>
            </w:r>
            <w:r w:rsidR="00D47B42">
              <w:t>mpact and demonstrable results.</w:t>
            </w:r>
          </w:p>
          <w:p w:rsidR="00D47B42" w:rsidRPr="00D47B42" w:rsidRDefault="00D83FFF" w:rsidP="00D47B42">
            <w:pPr>
              <w:pStyle w:val="ListParagraph"/>
              <w:numPr>
                <w:ilvl w:val="0"/>
                <w:numId w:val="11"/>
              </w:numPr>
              <w:contextualSpacing/>
              <w:rPr>
                <w:szCs w:val="21"/>
              </w:rPr>
            </w:pPr>
            <w:r w:rsidRPr="00D47B42">
              <w:rPr>
                <w:rFonts w:cs="Arial"/>
              </w:rPr>
              <w:t>A degree or other relevant qualification and/or membership of a professional body (e.g. CIPR, CIM).</w:t>
            </w:r>
          </w:p>
          <w:p w:rsidR="00402EEB" w:rsidRDefault="00402EEB" w:rsidP="00D47B42">
            <w:pPr>
              <w:pStyle w:val="ListParagraph"/>
              <w:contextualSpacing/>
              <w:rPr>
                <w:szCs w:val="21"/>
              </w:rPr>
            </w:pPr>
          </w:p>
          <w:p w:rsidR="00D83FFF" w:rsidRPr="00D47B42" w:rsidRDefault="00DB28CD" w:rsidP="00D47B42">
            <w:pPr>
              <w:pStyle w:val="ListParagraph"/>
              <w:contextualSpacing/>
              <w:rPr>
                <w:szCs w:val="21"/>
              </w:rPr>
            </w:pPr>
            <w:bookmarkStart w:id="0" w:name="_GoBack"/>
            <w:bookmarkEnd w:id="0"/>
            <w:r w:rsidRPr="00D47B42">
              <w:rPr>
                <w:szCs w:val="21"/>
              </w:rPr>
              <w:t>The post holder will be expected to take on such corporate responsibilities as may be necessary from time to time. This role will require the need to work outside office hours occasionally.</w:t>
            </w:r>
          </w:p>
          <w:p w:rsidR="00AB3B25" w:rsidRDefault="00AB3B25" w:rsidP="009F3EE2">
            <w:pPr>
              <w:contextualSpacing/>
              <w:rPr>
                <w:szCs w:val="21"/>
              </w:rPr>
            </w:pPr>
          </w:p>
          <w:p w:rsidR="00AB3B25" w:rsidRPr="00D47B42" w:rsidRDefault="00AB3B25" w:rsidP="009F3EE2">
            <w:pPr>
              <w:contextualSpacing/>
              <w:rPr>
                <w:b/>
                <w:u w:val="single"/>
              </w:rPr>
            </w:pPr>
            <w:r w:rsidRPr="00D47B42">
              <w:rPr>
                <w:b/>
                <w:szCs w:val="21"/>
                <w:u w:val="single"/>
              </w:rPr>
              <w:t>Required Competencies</w:t>
            </w:r>
          </w:p>
          <w:p w:rsidR="00C7215B" w:rsidRPr="00C7215B" w:rsidRDefault="00C7215B" w:rsidP="00C7215B">
            <w:pPr>
              <w:pStyle w:val="ListParagraph"/>
              <w:ind w:left="446" w:hanging="426"/>
              <w:contextualSpacing/>
              <w:rPr>
                <w:b/>
              </w:rPr>
            </w:pPr>
            <w:r w:rsidRPr="00C7215B">
              <w:rPr>
                <w:b/>
              </w:rPr>
              <w:t>Setting Direction</w:t>
            </w:r>
          </w:p>
          <w:p w:rsidR="00C7215B" w:rsidRDefault="00C7215B" w:rsidP="00C7215B">
            <w:pPr>
              <w:pStyle w:val="ListParagraph"/>
              <w:numPr>
                <w:ilvl w:val="0"/>
                <w:numId w:val="9"/>
              </w:numPr>
              <w:contextualSpacing/>
            </w:pPr>
            <w:r>
              <w:t>Seeing the big picture - Develop an in-depth insight into the dynamics and issues surrounding MOPAC including political, economic, social, environmental and technological impacts</w:t>
            </w:r>
          </w:p>
          <w:p w:rsidR="00C7215B" w:rsidRDefault="00C7215B" w:rsidP="00C7215B">
            <w:pPr>
              <w:pStyle w:val="ListParagraph"/>
              <w:numPr>
                <w:ilvl w:val="0"/>
                <w:numId w:val="9"/>
              </w:numPr>
              <w:contextualSpacing/>
            </w:pPr>
            <w:r>
              <w:t>Changing and improving - Create a culture of flexibility and responsiveness, mobilising MOPAC to respond swiftly to changing priorities and turn ambiguous or difficult situations into opportunities</w:t>
            </w:r>
          </w:p>
          <w:p w:rsidR="00C7215B" w:rsidRDefault="00C7215B" w:rsidP="00C7215B">
            <w:pPr>
              <w:pStyle w:val="ListParagraph"/>
              <w:numPr>
                <w:ilvl w:val="0"/>
                <w:numId w:val="9"/>
              </w:numPr>
              <w:contextualSpacing/>
            </w:pPr>
            <w:r>
              <w:t>Making effective decisions -  Identify and evaluate risks and options and develop MOPAC wide strategies to manage and mitigate</w:t>
            </w:r>
          </w:p>
          <w:p w:rsidR="00C7215B" w:rsidRDefault="00C7215B" w:rsidP="00C7215B">
            <w:pPr>
              <w:pStyle w:val="ListParagraph"/>
              <w:ind w:left="446" w:hanging="426"/>
              <w:contextualSpacing/>
            </w:pPr>
          </w:p>
          <w:p w:rsidR="00C7215B" w:rsidRPr="00C7215B" w:rsidRDefault="00C7215B" w:rsidP="00C7215B">
            <w:pPr>
              <w:pStyle w:val="ListParagraph"/>
              <w:ind w:left="20"/>
              <w:contextualSpacing/>
              <w:rPr>
                <w:b/>
              </w:rPr>
            </w:pPr>
            <w:r w:rsidRPr="00C7215B">
              <w:rPr>
                <w:b/>
              </w:rPr>
              <w:t>Engaging People</w:t>
            </w:r>
          </w:p>
          <w:p w:rsidR="00C7215B" w:rsidRDefault="00C7215B" w:rsidP="00C7215B">
            <w:pPr>
              <w:pStyle w:val="ListParagraph"/>
              <w:numPr>
                <w:ilvl w:val="0"/>
                <w:numId w:val="9"/>
              </w:numPr>
              <w:contextualSpacing/>
            </w:pPr>
            <w:r>
              <w:t>Leading and communicating - Influences the thinking of other organisations, encouraging them to deliver in line with the Mayor’s Police and Crime Plan</w:t>
            </w:r>
          </w:p>
          <w:p w:rsidR="00C7215B" w:rsidRDefault="00C7215B" w:rsidP="00C7215B">
            <w:pPr>
              <w:pStyle w:val="ListParagraph"/>
              <w:numPr>
                <w:ilvl w:val="0"/>
                <w:numId w:val="9"/>
              </w:numPr>
              <w:contextualSpacing/>
            </w:pPr>
            <w:r>
              <w:t>Collaborating and Cross Team Working - Confront issues and challenge assumptions at the highest levels with delivery partners, stakeholders and clients in an assertive yet constructive way</w:t>
            </w:r>
          </w:p>
          <w:p w:rsidR="00C7215B" w:rsidRDefault="00C7215B" w:rsidP="00C7215B">
            <w:pPr>
              <w:pStyle w:val="ListParagraph"/>
              <w:numPr>
                <w:ilvl w:val="0"/>
                <w:numId w:val="9"/>
              </w:numPr>
              <w:contextualSpacing/>
            </w:pPr>
            <w:r>
              <w:t>Building capability for all - Develop and maintain organisational commitment to problem solving, empowering people to experiment and achieve organisational results together</w:t>
            </w:r>
          </w:p>
          <w:p w:rsidR="00C7215B" w:rsidRDefault="00C7215B" w:rsidP="00C7215B">
            <w:pPr>
              <w:pStyle w:val="ListParagraph"/>
              <w:ind w:left="446" w:hanging="426"/>
              <w:contextualSpacing/>
            </w:pPr>
          </w:p>
          <w:p w:rsidR="00C7215B" w:rsidRPr="00C7215B" w:rsidRDefault="00C7215B" w:rsidP="00C7215B">
            <w:pPr>
              <w:pStyle w:val="ListParagraph"/>
              <w:ind w:left="20"/>
              <w:contextualSpacing/>
              <w:rPr>
                <w:b/>
              </w:rPr>
            </w:pPr>
            <w:r w:rsidRPr="00C7215B">
              <w:rPr>
                <w:b/>
              </w:rPr>
              <w:t>Delivering Results</w:t>
            </w:r>
          </w:p>
          <w:p w:rsidR="00C7215B" w:rsidRDefault="00C7215B" w:rsidP="00C7215B">
            <w:pPr>
              <w:pStyle w:val="ListParagraph"/>
              <w:numPr>
                <w:ilvl w:val="0"/>
                <w:numId w:val="9"/>
              </w:numPr>
              <w:contextualSpacing/>
            </w:pPr>
            <w:r>
              <w:t>Achieving outcomes - Role model strong leadership, influence and accountability for the achievement of outcomes relevant to MOPAC’s priorities</w:t>
            </w:r>
          </w:p>
          <w:p w:rsidR="00C7215B" w:rsidRDefault="00C7215B" w:rsidP="00C7215B">
            <w:pPr>
              <w:pStyle w:val="ListParagraph"/>
              <w:numPr>
                <w:ilvl w:val="0"/>
                <w:numId w:val="9"/>
              </w:numPr>
              <w:contextualSpacing/>
            </w:pPr>
            <w:r>
              <w:t>Delivering value for money - Maintain a clear focus on maximising resource efficiency, continually questioning the value of activities against strategic priorities</w:t>
            </w:r>
          </w:p>
          <w:p w:rsidR="00C7215B" w:rsidRDefault="00C7215B" w:rsidP="00C7215B">
            <w:pPr>
              <w:pStyle w:val="ListParagraph"/>
              <w:numPr>
                <w:ilvl w:val="0"/>
                <w:numId w:val="9"/>
              </w:numPr>
              <w:contextualSpacing/>
            </w:pPr>
            <w:r>
              <w:t>Managing a quality service - Define and integrate clear structures, systems and resources required across the MOPAC to promote efficient service delivery</w:t>
            </w:r>
          </w:p>
          <w:p w:rsidR="00DB28CD" w:rsidRPr="003044A7" w:rsidRDefault="00C7215B" w:rsidP="00B32B2E">
            <w:pPr>
              <w:pStyle w:val="ListParagraph"/>
              <w:numPr>
                <w:ilvl w:val="0"/>
                <w:numId w:val="9"/>
              </w:numPr>
              <w:contextualSpacing/>
            </w:pPr>
            <w:r>
              <w:t>Delivering at pace - Set, maintain and ensure a clear direction for the MOPAC, with highly focused priorities and project outcomes</w:t>
            </w:r>
          </w:p>
        </w:tc>
      </w:tr>
    </w:tbl>
    <w:p w:rsidR="00AB3B25" w:rsidRDefault="00AB3B25">
      <w:r>
        <w:br w:type="page"/>
      </w:r>
    </w:p>
    <w:tbl>
      <w:tblPr>
        <w:tblW w:w="1017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0"/>
      </w:tblGrid>
      <w:tr w:rsidR="00DB28CD" w:rsidRPr="004B2AC5">
        <w:tc>
          <w:tcPr>
            <w:tcW w:w="10170" w:type="dxa"/>
            <w:shd w:val="pct20" w:color="auto" w:fill="auto"/>
          </w:tcPr>
          <w:p w:rsidR="00DB28CD" w:rsidRPr="004E3ADF" w:rsidRDefault="00DB28CD" w:rsidP="009F3EE2">
            <w:pPr>
              <w:numPr>
                <w:ilvl w:val="12"/>
                <w:numId w:val="0"/>
              </w:numPr>
              <w:spacing w:beforeLines="40" w:before="96" w:after="40"/>
              <w:rPr>
                <w:rFonts w:cs="Arial"/>
                <w:b/>
              </w:rPr>
            </w:pPr>
            <w:r w:rsidRPr="004B2AC5">
              <w:rPr>
                <w:rFonts w:cs="Arial"/>
                <w:b/>
              </w:rPr>
              <w:lastRenderedPageBreak/>
              <w:t>General Responsibilities</w:t>
            </w:r>
          </w:p>
        </w:tc>
      </w:tr>
      <w:tr w:rsidR="00DB28CD" w:rsidRPr="004B2AC5">
        <w:tc>
          <w:tcPr>
            <w:tcW w:w="10170" w:type="dxa"/>
          </w:tcPr>
          <w:p w:rsidR="00DB28CD" w:rsidRPr="00584F9D" w:rsidRDefault="00DB28CD" w:rsidP="00DB28CD">
            <w:pPr>
              <w:numPr>
                <w:ilvl w:val="0"/>
                <w:numId w:val="2"/>
              </w:numPr>
              <w:spacing w:after="0" w:line="240" w:lineRule="auto"/>
              <w:rPr>
                <w:szCs w:val="21"/>
              </w:rPr>
            </w:pPr>
            <w:r w:rsidRPr="00584F9D">
              <w:rPr>
                <w:szCs w:val="21"/>
              </w:rPr>
              <w:t>To adhere to MOPAC’s Equality &amp; Diversity and Equal Opportunities policies in all activities.</w:t>
            </w:r>
          </w:p>
          <w:p w:rsidR="00DB28CD" w:rsidRPr="00584F9D" w:rsidRDefault="00DB28CD" w:rsidP="00DB28CD">
            <w:pPr>
              <w:numPr>
                <w:ilvl w:val="0"/>
                <w:numId w:val="2"/>
              </w:numPr>
              <w:spacing w:after="0" w:line="240" w:lineRule="auto"/>
              <w:rPr>
                <w:szCs w:val="21"/>
              </w:rPr>
            </w:pPr>
            <w:r w:rsidRPr="00584F9D">
              <w:rPr>
                <w:szCs w:val="21"/>
              </w:rPr>
              <w:t>To be responsible for your own health and safety and that of your colleagues and all others in the workplace, in accordance with MOPAC Health and Safety policies.</w:t>
            </w:r>
          </w:p>
          <w:p w:rsidR="00DB28CD" w:rsidRPr="00584F9D" w:rsidRDefault="00DB28CD" w:rsidP="00DB28CD">
            <w:pPr>
              <w:numPr>
                <w:ilvl w:val="0"/>
                <w:numId w:val="2"/>
              </w:numPr>
              <w:spacing w:after="0" w:line="240" w:lineRule="auto"/>
              <w:rPr>
                <w:szCs w:val="21"/>
              </w:rPr>
            </w:pPr>
            <w:r w:rsidRPr="00584F9D">
              <w:rPr>
                <w:szCs w:val="21"/>
              </w:rPr>
              <w:t>To work in accordance with data protection policies and adhere to Freedom of Information policies where appropriate.</w:t>
            </w:r>
          </w:p>
          <w:p w:rsidR="00DB28CD" w:rsidRPr="00AB3B25" w:rsidRDefault="00DB28CD" w:rsidP="00B32B2E">
            <w:pPr>
              <w:numPr>
                <w:ilvl w:val="0"/>
                <w:numId w:val="2"/>
              </w:numPr>
              <w:spacing w:after="0" w:line="240" w:lineRule="auto"/>
              <w:rPr>
                <w:rFonts w:cs="Arial"/>
              </w:rPr>
            </w:pPr>
            <w:r w:rsidRPr="00584F9D">
              <w:rPr>
                <w:szCs w:val="21"/>
              </w:rPr>
              <w:t>To undertake such other duties as may be reasonably expected.</w:t>
            </w:r>
          </w:p>
          <w:p w:rsidR="00AB3B25" w:rsidRPr="00B32B2E" w:rsidRDefault="00AB3B25" w:rsidP="00AB3B25">
            <w:pPr>
              <w:spacing w:after="0" w:line="240" w:lineRule="auto"/>
              <w:ind w:left="360"/>
              <w:rPr>
                <w:rFonts w:cs="Arial"/>
              </w:rPr>
            </w:pPr>
          </w:p>
        </w:tc>
      </w:tr>
      <w:tr w:rsidR="00AB3B25" w:rsidTr="00FC3747">
        <w:tc>
          <w:tcPr>
            <w:tcW w:w="10170" w:type="dxa"/>
            <w:tcBorders>
              <w:top w:val="single" w:sz="6" w:space="0" w:color="auto"/>
              <w:left w:val="single" w:sz="6" w:space="0" w:color="auto"/>
              <w:bottom w:val="single" w:sz="6" w:space="0" w:color="auto"/>
              <w:right w:val="single" w:sz="6" w:space="0" w:color="auto"/>
            </w:tcBorders>
            <w:shd w:val="pct20" w:color="auto" w:fill="auto"/>
          </w:tcPr>
          <w:p w:rsidR="00AB3B25" w:rsidRPr="001A1FAA" w:rsidRDefault="00AB3B25" w:rsidP="00FC3747">
            <w:pPr>
              <w:tabs>
                <w:tab w:val="num" w:pos="720"/>
              </w:tabs>
              <w:spacing w:after="0" w:line="240" w:lineRule="auto"/>
              <w:ind w:left="720" w:hanging="360"/>
              <w:rPr>
                <w:b/>
              </w:rPr>
            </w:pPr>
            <w:r w:rsidRPr="001A1FAA">
              <w:rPr>
                <w:b/>
              </w:rPr>
              <w:t>Management Responsibilities</w:t>
            </w:r>
          </w:p>
        </w:tc>
      </w:tr>
      <w:tr w:rsidR="00AB3B25" w:rsidTr="00FC3747">
        <w:tc>
          <w:tcPr>
            <w:tcW w:w="10170" w:type="dxa"/>
            <w:tcBorders>
              <w:top w:val="single" w:sz="6" w:space="0" w:color="auto"/>
              <w:left w:val="single" w:sz="6" w:space="0" w:color="auto"/>
              <w:bottom w:val="single" w:sz="6" w:space="0" w:color="auto"/>
              <w:right w:val="single" w:sz="6" w:space="0" w:color="auto"/>
            </w:tcBorders>
          </w:tcPr>
          <w:p w:rsidR="00AB3B25" w:rsidRPr="001A1FAA" w:rsidRDefault="00AB3B25" w:rsidP="00AB3B25">
            <w:pPr>
              <w:numPr>
                <w:ilvl w:val="0"/>
                <w:numId w:val="10"/>
              </w:numPr>
              <w:overflowPunct w:val="0"/>
              <w:autoSpaceDE w:val="0"/>
              <w:autoSpaceDN w:val="0"/>
              <w:adjustRightInd w:val="0"/>
              <w:spacing w:after="0" w:line="240" w:lineRule="auto"/>
              <w:ind w:left="714" w:hanging="357"/>
              <w:textAlignment w:val="baseline"/>
            </w:pPr>
            <w:r w:rsidRPr="001A1FAA">
              <w:t>To ensure, with MOPAC’s COO and, where appropriate, legal advisors, that the Mayor, DMPC and MOPAC fulfil their legal and audit related obligations, are statutorily compliant and respond efficiently and effectively to relevant London Assembly committees and sub-committees</w:t>
            </w:r>
          </w:p>
          <w:p w:rsidR="00AB3B25" w:rsidRPr="001A1FAA" w:rsidRDefault="00AB3B25" w:rsidP="00AB3B25">
            <w:pPr>
              <w:numPr>
                <w:ilvl w:val="0"/>
                <w:numId w:val="10"/>
              </w:numPr>
              <w:overflowPunct w:val="0"/>
              <w:autoSpaceDE w:val="0"/>
              <w:autoSpaceDN w:val="0"/>
              <w:adjustRightInd w:val="0"/>
              <w:spacing w:after="0" w:line="240" w:lineRule="auto"/>
              <w:ind w:left="714" w:hanging="357"/>
              <w:textAlignment w:val="baseline"/>
            </w:pPr>
            <w:r w:rsidRPr="001A1FAA">
              <w:t>Fully contribute to the effective leadership of the organisation and the development of a delivery culture which enables MOPAC to improve and innovate and effectively deliver the Mayor and Deputy Mayor’s visions.</w:t>
            </w:r>
          </w:p>
          <w:p w:rsidR="00AB3B25" w:rsidRPr="001A1FAA" w:rsidRDefault="00AB3B25" w:rsidP="00AB3B25">
            <w:pPr>
              <w:numPr>
                <w:ilvl w:val="0"/>
                <w:numId w:val="10"/>
              </w:numPr>
              <w:overflowPunct w:val="0"/>
              <w:autoSpaceDE w:val="0"/>
              <w:autoSpaceDN w:val="0"/>
              <w:adjustRightInd w:val="0"/>
              <w:spacing w:after="0" w:line="240" w:lineRule="auto"/>
              <w:ind w:left="714" w:hanging="357"/>
              <w:textAlignment w:val="baseline"/>
            </w:pPr>
            <w:r w:rsidRPr="001A1FAA">
              <w:t xml:space="preserve">To promote equality and inclusion across all of MOPAC’s programmes and employment through policy initiatives, personal example, open commitment, clear action and direction. </w:t>
            </w:r>
          </w:p>
          <w:p w:rsidR="00AB3B25" w:rsidRDefault="00AB3B25" w:rsidP="00AB3B25">
            <w:pPr>
              <w:numPr>
                <w:ilvl w:val="0"/>
                <w:numId w:val="10"/>
              </w:numPr>
              <w:overflowPunct w:val="0"/>
              <w:autoSpaceDE w:val="0"/>
              <w:autoSpaceDN w:val="0"/>
              <w:adjustRightInd w:val="0"/>
              <w:spacing w:after="0" w:line="240" w:lineRule="auto"/>
              <w:textAlignment w:val="baseline"/>
            </w:pPr>
            <w:r w:rsidRPr="001A1FAA">
              <w:t xml:space="preserve">Responsible for the effective management of performance and capacity with direct reports, confidently resolving people issues and supporting team members in their professional development </w:t>
            </w:r>
            <w:r>
              <w:t>a</w:t>
            </w:r>
            <w:r w:rsidRPr="001A1FAA">
              <w:t>nd designing individual,</w:t>
            </w:r>
            <w:r>
              <w:t xml:space="preserve"> team and corporate development. </w:t>
            </w:r>
            <w:r w:rsidRPr="00430983">
              <w:t>Undertake mentoring and coaching roles within the organisation ensuring the necessary development of skills and capabilities needed.</w:t>
            </w:r>
          </w:p>
          <w:p w:rsidR="00AB3B25" w:rsidRPr="001A1FAA" w:rsidRDefault="00AB3B25" w:rsidP="00AB3B25">
            <w:pPr>
              <w:overflowPunct w:val="0"/>
              <w:autoSpaceDE w:val="0"/>
              <w:autoSpaceDN w:val="0"/>
              <w:adjustRightInd w:val="0"/>
              <w:spacing w:after="0" w:line="240" w:lineRule="auto"/>
              <w:textAlignment w:val="baseline"/>
            </w:pPr>
          </w:p>
        </w:tc>
      </w:tr>
    </w:tbl>
    <w:p w:rsidR="00DB28CD" w:rsidRDefault="00DB28CD" w:rsidP="00B32B2E"/>
    <w:sectPr w:rsidR="00DB28CD" w:rsidSect="00AB3B2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5C88"/>
    <w:multiLevelType w:val="hybridMultilevel"/>
    <w:tmpl w:val="928A5770"/>
    <w:lvl w:ilvl="0" w:tplc="556A1D32">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F485F5A"/>
    <w:multiLevelType w:val="hybridMultilevel"/>
    <w:tmpl w:val="A372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64458A"/>
    <w:multiLevelType w:val="hybridMultilevel"/>
    <w:tmpl w:val="8E3E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844078"/>
    <w:multiLevelType w:val="hybridMultilevel"/>
    <w:tmpl w:val="ED046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F31BEE"/>
    <w:multiLevelType w:val="hybridMultilevel"/>
    <w:tmpl w:val="0C8231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5A9425CF"/>
    <w:multiLevelType w:val="hybridMultilevel"/>
    <w:tmpl w:val="4BB0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7341D2"/>
    <w:multiLevelType w:val="hybridMultilevel"/>
    <w:tmpl w:val="9DCC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E35A0E"/>
    <w:multiLevelType w:val="hybridMultilevel"/>
    <w:tmpl w:val="97C4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067949"/>
    <w:multiLevelType w:val="hybridMultilevel"/>
    <w:tmpl w:val="7A8008C4"/>
    <w:lvl w:ilvl="0" w:tplc="0809000F">
      <w:start w:val="1"/>
      <w:numFmt w:val="decimal"/>
      <w:lvlText w:val="%1."/>
      <w:lvlJc w:val="left"/>
      <w:pPr>
        <w:ind w:left="74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9">
    <w:nsid w:val="73CF2596"/>
    <w:multiLevelType w:val="hybridMultilevel"/>
    <w:tmpl w:val="B7F2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401078"/>
    <w:multiLevelType w:val="hybridMultilevel"/>
    <w:tmpl w:val="BBBE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6"/>
  </w:num>
  <w:num w:numId="5">
    <w:abstractNumId w:val="10"/>
  </w:num>
  <w:num w:numId="6">
    <w:abstractNumId w:val="7"/>
  </w:num>
  <w:num w:numId="7">
    <w:abstractNumId w:val="3"/>
  </w:num>
  <w:num w:numId="8">
    <w:abstractNumId w:val="2"/>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CD"/>
    <w:rsid w:val="0001203F"/>
    <w:rsid w:val="00050C30"/>
    <w:rsid w:val="001B2DE7"/>
    <w:rsid w:val="00207A08"/>
    <w:rsid w:val="002315F3"/>
    <w:rsid w:val="0029641C"/>
    <w:rsid w:val="002C5029"/>
    <w:rsid w:val="00402EEB"/>
    <w:rsid w:val="00501539"/>
    <w:rsid w:val="005B5A0C"/>
    <w:rsid w:val="00702D4F"/>
    <w:rsid w:val="007B30D3"/>
    <w:rsid w:val="0083300A"/>
    <w:rsid w:val="008E7068"/>
    <w:rsid w:val="009328BD"/>
    <w:rsid w:val="009F3EE2"/>
    <w:rsid w:val="00A4624E"/>
    <w:rsid w:val="00A607F2"/>
    <w:rsid w:val="00AB3B25"/>
    <w:rsid w:val="00B32B2E"/>
    <w:rsid w:val="00C5388D"/>
    <w:rsid w:val="00C7215B"/>
    <w:rsid w:val="00CC766E"/>
    <w:rsid w:val="00D34D82"/>
    <w:rsid w:val="00D47B42"/>
    <w:rsid w:val="00D83FFF"/>
    <w:rsid w:val="00DB28C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CD"/>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8CD"/>
    <w:pPr>
      <w:ind w:left="720"/>
    </w:pPr>
  </w:style>
  <w:style w:type="paragraph" w:styleId="BalloonText">
    <w:name w:val="Balloon Text"/>
    <w:basedOn w:val="Normal"/>
    <w:link w:val="BalloonTextChar"/>
    <w:uiPriority w:val="99"/>
    <w:semiHidden/>
    <w:unhideWhenUsed/>
    <w:rsid w:val="009F3E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3EE2"/>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CD"/>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8CD"/>
    <w:pPr>
      <w:ind w:left="720"/>
    </w:pPr>
  </w:style>
  <w:style w:type="paragraph" w:styleId="BalloonText">
    <w:name w:val="Balloon Text"/>
    <w:basedOn w:val="Normal"/>
    <w:link w:val="BalloonTextChar"/>
    <w:uiPriority w:val="99"/>
    <w:semiHidden/>
    <w:unhideWhenUsed/>
    <w:rsid w:val="009F3E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3EE2"/>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N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grant</dc:creator>
  <cp:lastModifiedBy>Farhana Patel</cp:lastModifiedBy>
  <cp:revision>5</cp:revision>
  <cp:lastPrinted>2014-07-31T13:16:00Z</cp:lastPrinted>
  <dcterms:created xsi:type="dcterms:W3CDTF">2014-10-09T09:11:00Z</dcterms:created>
  <dcterms:modified xsi:type="dcterms:W3CDTF">2014-10-21T12:00:00Z</dcterms:modified>
</cp:coreProperties>
</file>